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F949C">
      <w:pPr>
        <w:spacing w:line="520" w:lineRule="exact"/>
        <w:jc w:val="center"/>
        <w:rPr>
          <w:rFonts w:hint="eastAsia" w:ascii="宋体" w:hAnsi="宋体" w:eastAsia="宋体" w:cs="宋体"/>
          <w:b/>
          <w:bCs/>
          <w:color w:val="auto"/>
          <w:sz w:val="52"/>
          <w:szCs w:val="52"/>
          <w:highlight w:val="none"/>
          <w:u w:val="single"/>
        </w:rPr>
      </w:pPr>
      <w:bookmarkStart w:id="0" w:name="OLE_LINK3"/>
      <w:bookmarkStart w:id="1" w:name="OLE_LINK2"/>
    </w:p>
    <w:p w14:paraId="3753871B">
      <w:pPr>
        <w:spacing w:line="360" w:lineRule="auto"/>
        <w:jc w:val="center"/>
        <w:rPr>
          <w:rFonts w:hint="eastAsia" w:ascii="宋体" w:hAnsi="宋体" w:eastAsia="宋体" w:cs="宋体"/>
          <w:b/>
          <w:bCs/>
          <w:color w:val="auto"/>
          <w:sz w:val="56"/>
          <w:szCs w:val="56"/>
          <w:highlight w:val="none"/>
        </w:rPr>
      </w:pPr>
      <w:r>
        <w:rPr>
          <w:rFonts w:hint="eastAsia" w:ascii="宋体" w:hAnsi="宋体" w:cs="宋体"/>
          <w:b/>
          <w:bCs/>
          <w:color w:val="auto"/>
          <w:sz w:val="56"/>
          <w:szCs w:val="56"/>
          <w:highlight w:val="none"/>
          <w:lang w:eastAsia="zh-CN"/>
        </w:rPr>
        <w:t>昆明鑫安道路设施维护有限公司清算报告服务项目（四次）</w:t>
      </w:r>
    </w:p>
    <w:p w14:paraId="4A390349">
      <w:pPr>
        <w:spacing w:line="520" w:lineRule="exact"/>
        <w:rPr>
          <w:rFonts w:hint="eastAsia" w:ascii="宋体" w:hAnsi="宋体" w:eastAsia="宋体" w:cs="宋体"/>
          <w:b/>
          <w:color w:val="auto"/>
          <w:sz w:val="28"/>
          <w:szCs w:val="28"/>
          <w:highlight w:val="none"/>
        </w:rPr>
      </w:pPr>
    </w:p>
    <w:p w14:paraId="2474E7A5">
      <w:pPr>
        <w:spacing w:line="520" w:lineRule="exact"/>
        <w:rPr>
          <w:rFonts w:hint="eastAsia" w:ascii="宋体" w:hAnsi="宋体" w:eastAsia="宋体" w:cs="宋体"/>
          <w:color w:val="auto"/>
          <w:szCs w:val="21"/>
          <w:highlight w:val="none"/>
        </w:rPr>
      </w:pPr>
    </w:p>
    <w:p w14:paraId="2DE365A0">
      <w:pPr>
        <w:spacing w:line="520" w:lineRule="exact"/>
        <w:rPr>
          <w:rFonts w:hint="eastAsia" w:ascii="宋体" w:hAnsi="宋体" w:eastAsia="宋体" w:cs="宋体"/>
          <w:color w:val="auto"/>
          <w:szCs w:val="21"/>
          <w:highlight w:val="none"/>
        </w:rPr>
      </w:pPr>
    </w:p>
    <w:p w14:paraId="45FA0A35">
      <w:pPr>
        <w:spacing w:line="520" w:lineRule="exact"/>
        <w:rPr>
          <w:rFonts w:hint="eastAsia" w:ascii="宋体" w:hAnsi="宋体" w:eastAsia="宋体" w:cs="宋体"/>
          <w:color w:val="auto"/>
          <w:szCs w:val="21"/>
          <w:highlight w:val="none"/>
        </w:rPr>
      </w:pPr>
    </w:p>
    <w:p w14:paraId="4238593C">
      <w:pPr>
        <w:spacing w:line="520" w:lineRule="exact"/>
        <w:rPr>
          <w:rFonts w:hint="eastAsia" w:ascii="宋体" w:hAnsi="宋体" w:eastAsia="宋体" w:cs="宋体"/>
          <w:color w:val="auto"/>
          <w:szCs w:val="21"/>
          <w:highlight w:val="none"/>
        </w:rPr>
      </w:pPr>
    </w:p>
    <w:p w14:paraId="10C27D67">
      <w:pPr>
        <w:spacing w:line="520" w:lineRule="exact"/>
        <w:rPr>
          <w:rFonts w:hint="eastAsia" w:ascii="宋体" w:hAnsi="宋体" w:eastAsia="宋体" w:cs="宋体"/>
          <w:color w:val="auto"/>
          <w:szCs w:val="21"/>
          <w:highlight w:val="none"/>
        </w:rPr>
      </w:pPr>
    </w:p>
    <w:p w14:paraId="21FCD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52"/>
          <w:szCs w:val="52"/>
          <w:highlight w:val="none"/>
        </w:rPr>
      </w:pPr>
      <w:r>
        <w:rPr>
          <w:rFonts w:hint="eastAsia" w:ascii="宋体" w:hAnsi="宋体" w:eastAsia="宋体" w:cs="宋体"/>
          <w:b/>
          <w:bCs/>
          <w:color w:val="auto"/>
          <w:sz w:val="60"/>
          <w:szCs w:val="60"/>
          <w:highlight w:val="none"/>
        </w:rPr>
        <w:t>询价文件</w:t>
      </w:r>
    </w:p>
    <w:p w14:paraId="5BC3CBD8">
      <w:pPr>
        <w:pStyle w:val="10"/>
        <w:spacing w:after="0" w:line="520" w:lineRule="exact"/>
        <w:rPr>
          <w:rFonts w:hint="eastAsia" w:ascii="宋体" w:hAnsi="宋体" w:eastAsia="宋体" w:cs="宋体"/>
          <w:color w:val="auto"/>
          <w:highlight w:val="none"/>
        </w:rPr>
      </w:pPr>
    </w:p>
    <w:p w14:paraId="1BC64DD8">
      <w:pPr>
        <w:spacing w:line="520" w:lineRule="exact"/>
        <w:jc w:val="both"/>
        <w:rPr>
          <w:rFonts w:hint="eastAsia" w:ascii="宋体" w:hAnsi="宋体" w:eastAsia="宋体" w:cs="宋体"/>
          <w:b/>
          <w:color w:val="auto"/>
          <w:sz w:val="30"/>
          <w:szCs w:val="30"/>
          <w:highlight w:val="none"/>
          <w:lang w:eastAsia="zh-CN"/>
        </w:rPr>
      </w:pPr>
    </w:p>
    <w:bookmarkEnd w:id="0"/>
    <w:bookmarkEnd w:id="1"/>
    <w:p w14:paraId="50B17BE5">
      <w:pPr>
        <w:spacing w:line="520" w:lineRule="exact"/>
        <w:rPr>
          <w:rFonts w:hint="eastAsia" w:ascii="宋体" w:hAnsi="宋体" w:eastAsia="宋体" w:cs="宋体"/>
          <w:color w:val="auto"/>
          <w:szCs w:val="21"/>
          <w:highlight w:val="none"/>
        </w:rPr>
      </w:pPr>
    </w:p>
    <w:p w14:paraId="69175322">
      <w:pPr>
        <w:pStyle w:val="24"/>
        <w:ind w:left="0" w:leftChars="0" w:firstLine="0" w:firstLineChars="0"/>
        <w:rPr>
          <w:rFonts w:hint="eastAsia" w:ascii="宋体" w:hAnsi="宋体" w:eastAsia="宋体" w:cs="宋体"/>
          <w:color w:val="auto"/>
          <w:highlight w:val="none"/>
        </w:rPr>
      </w:pPr>
    </w:p>
    <w:p w14:paraId="62AE708A">
      <w:pPr>
        <w:spacing w:line="520" w:lineRule="exact"/>
        <w:rPr>
          <w:rFonts w:hint="eastAsia" w:ascii="宋体" w:hAnsi="宋体" w:eastAsia="宋体" w:cs="宋体"/>
          <w:color w:val="auto"/>
          <w:szCs w:val="21"/>
          <w:highlight w:val="none"/>
        </w:rPr>
      </w:pPr>
    </w:p>
    <w:p w14:paraId="30F60E32">
      <w:pPr>
        <w:spacing w:line="520" w:lineRule="exact"/>
        <w:rPr>
          <w:rFonts w:hint="eastAsia" w:ascii="宋体" w:hAnsi="宋体" w:eastAsia="宋体" w:cs="宋体"/>
          <w:color w:val="auto"/>
          <w:szCs w:val="21"/>
          <w:highlight w:val="none"/>
        </w:rPr>
      </w:pPr>
    </w:p>
    <w:p w14:paraId="747687CB">
      <w:pPr>
        <w:rPr>
          <w:rFonts w:hint="eastAsia"/>
          <w:color w:val="auto"/>
          <w:highlight w:val="none"/>
        </w:rPr>
      </w:pPr>
    </w:p>
    <w:p w14:paraId="7A8E0BF4">
      <w:pPr>
        <w:spacing w:line="520" w:lineRule="exact"/>
        <w:rPr>
          <w:rFonts w:hint="eastAsia" w:ascii="宋体" w:hAnsi="宋体" w:eastAsia="宋体" w:cs="宋体"/>
          <w:bCs/>
          <w:color w:val="auto"/>
          <w:sz w:val="30"/>
          <w:szCs w:val="30"/>
          <w:highlight w:val="none"/>
          <w:u w:val="single"/>
        </w:rPr>
      </w:pPr>
    </w:p>
    <w:p w14:paraId="7BEE4A9C">
      <w:pPr>
        <w:spacing w:line="520" w:lineRule="exact"/>
        <w:jc w:val="center"/>
        <w:rPr>
          <w:rFonts w:hint="eastAsia" w:ascii="宋体" w:hAnsi="宋体" w:eastAsia="宋体" w:cs="宋体"/>
          <w:bCs/>
          <w:color w:val="auto"/>
          <w:sz w:val="32"/>
          <w:szCs w:val="32"/>
          <w:highlight w:val="none"/>
        </w:rPr>
      </w:pPr>
    </w:p>
    <w:p w14:paraId="0562E151">
      <w:pPr>
        <w:keepNext w:val="0"/>
        <w:keepLines w:val="0"/>
        <w:pageBreakBefore w:val="0"/>
        <w:widowControl/>
        <w:kinsoku/>
        <w:wordWrap/>
        <w:overflowPunct/>
        <w:topLinePunct w:val="0"/>
        <w:autoSpaceDE/>
        <w:autoSpaceDN/>
        <w:bidi w:val="0"/>
        <w:adjustRightInd/>
        <w:snapToGrid/>
        <w:spacing w:line="600" w:lineRule="auto"/>
        <w:jc w:val="center"/>
        <w:textAlignment w:val="auto"/>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采购人：</w:t>
      </w:r>
      <w:r>
        <w:rPr>
          <w:rFonts w:hint="eastAsia" w:ascii="宋体" w:hAnsi="宋体" w:cs="宋体"/>
          <w:bCs/>
          <w:color w:val="auto"/>
          <w:sz w:val="32"/>
          <w:szCs w:val="32"/>
          <w:highlight w:val="none"/>
          <w:lang w:eastAsia="zh-CN"/>
        </w:rPr>
        <w:t>昆明安保（集团）有限责任公司</w:t>
      </w:r>
    </w:p>
    <w:p w14:paraId="1C1A0C4A">
      <w:pPr>
        <w:keepNext w:val="0"/>
        <w:keepLines w:val="0"/>
        <w:pageBreakBefore w:val="0"/>
        <w:widowControl/>
        <w:kinsoku/>
        <w:wordWrap/>
        <w:overflowPunct/>
        <w:topLinePunct w:val="0"/>
        <w:autoSpaceDE/>
        <w:autoSpaceDN/>
        <w:bidi w:val="0"/>
        <w:adjustRightInd/>
        <w:snapToGrid/>
        <w:spacing w:line="600" w:lineRule="auto"/>
        <w:jc w:val="center"/>
        <w:textAlignment w:val="auto"/>
        <w:rPr>
          <w:rFonts w:hint="eastAsia" w:ascii="宋体" w:hAnsi="宋体" w:eastAsia="宋体" w:cs="宋体"/>
          <w:bCs/>
          <w:color w:val="auto"/>
          <w:sz w:val="32"/>
          <w:szCs w:val="32"/>
          <w:highlight w:val="none"/>
          <w:lang w:val="en-US" w:eastAsia="zh-CN"/>
        </w:rPr>
      </w:pPr>
      <w:r>
        <w:rPr>
          <w:rFonts w:hint="eastAsia" w:ascii="宋体" w:hAnsi="宋体" w:cs="宋体"/>
          <w:bCs/>
          <w:color w:val="auto"/>
          <w:sz w:val="32"/>
          <w:szCs w:val="32"/>
          <w:highlight w:val="none"/>
          <w:lang w:val="en-US" w:eastAsia="zh-CN"/>
        </w:rPr>
        <w:t>代理机构：云南国旭建设工程招标咨询有限公司</w:t>
      </w:r>
    </w:p>
    <w:p w14:paraId="13CE3BA8">
      <w:pPr>
        <w:keepNext w:val="0"/>
        <w:keepLines w:val="0"/>
        <w:pageBreakBefore w:val="0"/>
        <w:widowControl/>
        <w:kinsoku/>
        <w:wordWrap/>
        <w:overflowPunct/>
        <w:topLinePunct w:val="0"/>
        <w:autoSpaceDE/>
        <w:autoSpaceDN/>
        <w:bidi w:val="0"/>
        <w:adjustRightInd/>
        <w:snapToGrid/>
        <w:spacing w:line="600" w:lineRule="auto"/>
        <w:jc w:val="center"/>
        <w:textAlignment w:val="auto"/>
        <w:rPr>
          <w:rFonts w:hint="default" w:ascii="宋体" w:hAnsi="宋体" w:eastAsia="宋体" w:cs="宋体"/>
          <w:bCs/>
          <w:color w:val="auto"/>
          <w:sz w:val="32"/>
          <w:szCs w:val="32"/>
          <w:highlight w:val="none"/>
          <w:lang w:val="en-US"/>
        </w:rPr>
      </w:pPr>
      <w:r>
        <w:rPr>
          <w:rFonts w:hint="eastAsia" w:ascii="宋体" w:hAnsi="宋体" w:eastAsia="宋体" w:cs="宋体"/>
          <w:bCs/>
          <w:color w:val="auto"/>
          <w:sz w:val="32"/>
          <w:szCs w:val="32"/>
          <w:highlight w:val="none"/>
        </w:rPr>
        <w:t>日  期：</w:t>
      </w:r>
      <w:r>
        <w:rPr>
          <w:rFonts w:hint="eastAsia" w:ascii="宋体" w:hAnsi="宋体" w:eastAsia="宋体" w:cs="宋体"/>
          <w:bCs/>
          <w:color w:val="auto"/>
          <w:sz w:val="32"/>
          <w:szCs w:val="32"/>
          <w:highlight w:val="none"/>
          <w:u w:val="none"/>
        </w:rPr>
        <w:t>202</w:t>
      </w:r>
      <w:r>
        <w:rPr>
          <w:rFonts w:hint="eastAsia" w:ascii="宋体" w:hAnsi="宋体" w:cs="宋体"/>
          <w:bCs/>
          <w:color w:val="auto"/>
          <w:sz w:val="32"/>
          <w:szCs w:val="32"/>
          <w:highlight w:val="none"/>
          <w:u w:val="none"/>
          <w:lang w:val="en-US" w:eastAsia="zh-CN"/>
        </w:rPr>
        <w:t>5</w:t>
      </w:r>
      <w:r>
        <w:rPr>
          <w:rFonts w:hint="eastAsia" w:ascii="宋体" w:hAnsi="宋体" w:eastAsia="宋体" w:cs="宋体"/>
          <w:bCs/>
          <w:color w:val="auto"/>
          <w:sz w:val="32"/>
          <w:szCs w:val="32"/>
          <w:highlight w:val="none"/>
          <w:u w:val="none"/>
        </w:rPr>
        <w:t>年</w:t>
      </w:r>
      <w:r>
        <w:rPr>
          <w:rFonts w:hint="eastAsia" w:ascii="宋体" w:hAnsi="宋体" w:cs="宋体"/>
          <w:bCs/>
          <w:color w:val="auto"/>
          <w:sz w:val="32"/>
          <w:szCs w:val="32"/>
          <w:highlight w:val="none"/>
          <w:u w:val="none"/>
          <w:lang w:val="en-US" w:eastAsia="zh-CN"/>
        </w:rPr>
        <w:t>9</w:t>
      </w:r>
      <w:r>
        <w:rPr>
          <w:rFonts w:hint="eastAsia" w:ascii="宋体" w:hAnsi="宋体" w:eastAsia="宋体" w:cs="宋体"/>
          <w:bCs/>
          <w:color w:val="auto"/>
          <w:sz w:val="32"/>
          <w:szCs w:val="32"/>
          <w:highlight w:val="none"/>
          <w:u w:val="none"/>
          <w:lang w:val="en-US" w:eastAsia="zh-CN"/>
        </w:rPr>
        <w:t>月</w:t>
      </w:r>
    </w:p>
    <w:p w14:paraId="137141FB">
      <w:pPr>
        <w:spacing w:line="520" w:lineRule="exact"/>
        <w:jc w:val="center"/>
        <w:outlineLvl w:val="9"/>
        <w:rPr>
          <w:rFonts w:hint="eastAsia" w:ascii="宋体" w:hAnsi="宋体" w:eastAsia="宋体" w:cs="宋体"/>
          <w:color w:val="auto"/>
          <w:sz w:val="36"/>
          <w:szCs w:val="36"/>
          <w:highlight w:val="none"/>
        </w:rPr>
      </w:pPr>
      <w:bookmarkStart w:id="2" w:name="_Toc11241"/>
      <w:r>
        <w:rPr>
          <w:rFonts w:hint="eastAsia" w:ascii="宋体" w:hAnsi="宋体" w:eastAsia="宋体" w:cs="宋体"/>
          <w:color w:val="auto"/>
          <w:sz w:val="36"/>
          <w:szCs w:val="36"/>
          <w:highlight w:val="none"/>
        </w:rPr>
        <w:br w:type="page"/>
      </w:r>
      <w:bookmarkStart w:id="3" w:name="_Toc101711184"/>
      <w:bookmarkStart w:id="4" w:name="_Toc1206"/>
      <w:r>
        <w:rPr>
          <w:rFonts w:hint="eastAsia" w:ascii="宋体" w:hAnsi="宋体" w:eastAsia="宋体" w:cs="宋体"/>
          <w:color w:val="auto"/>
          <w:sz w:val="36"/>
          <w:szCs w:val="36"/>
          <w:highlight w:val="none"/>
        </w:rPr>
        <w:t>目  录</w:t>
      </w:r>
      <w:bookmarkEnd w:id="3"/>
      <w:bookmarkEnd w:id="4"/>
    </w:p>
    <w:p w14:paraId="45376946">
      <w:pPr>
        <w:pStyle w:val="17"/>
        <w:tabs>
          <w:tab w:val="right" w:leader="hyphen" w:pos="8504"/>
        </w:tabs>
        <w:rPr>
          <w:color w:val="auto"/>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TOC \o "1-2" \h \u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_Toc2170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6"/>
          <w:highlight w:val="none"/>
        </w:rPr>
        <w:t xml:space="preserve">第一章 </w:t>
      </w:r>
      <w:r>
        <w:rPr>
          <w:rFonts w:hint="eastAsia" w:ascii="宋体" w:hAnsi="宋体" w:eastAsia="宋体" w:cs="宋体"/>
          <w:color w:val="auto"/>
          <w:szCs w:val="36"/>
          <w:highlight w:val="none"/>
          <w:lang w:eastAsia="zh-CN"/>
        </w:rPr>
        <w:t>询价邀请书</w:t>
      </w:r>
      <w:r>
        <w:rPr>
          <w:color w:val="auto"/>
          <w:highlight w:val="none"/>
        </w:rPr>
        <w:tab/>
      </w:r>
      <w:r>
        <w:rPr>
          <w:color w:val="auto"/>
          <w:highlight w:val="none"/>
        </w:rPr>
        <w:fldChar w:fldCharType="begin"/>
      </w:r>
      <w:r>
        <w:rPr>
          <w:color w:val="auto"/>
          <w:highlight w:val="none"/>
        </w:rPr>
        <w:instrText xml:space="preserve"> PAGEREF _Toc2170 \h </w:instrText>
      </w:r>
      <w:r>
        <w:rPr>
          <w:color w:val="auto"/>
          <w:highlight w:val="none"/>
        </w:rPr>
        <w:fldChar w:fldCharType="separate"/>
      </w:r>
      <w:r>
        <w:rPr>
          <w:color w:val="auto"/>
          <w:highlight w:val="none"/>
        </w:rPr>
        <w:t>1</w:t>
      </w:r>
      <w:r>
        <w:rPr>
          <w:color w:val="auto"/>
          <w:highlight w:val="none"/>
        </w:rPr>
        <w:fldChar w:fldCharType="end"/>
      </w:r>
      <w:r>
        <w:rPr>
          <w:rFonts w:hint="eastAsia" w:ascii="宋体" w:hAnsi="宋体" w:eastAsia="宋体" w:cs="宋体"/>
          <w:color w:val="auto"/>
          <w:szCs w:val="21"/>
          <w:highlight w:val="none"/>
        </w:rPr>
        <w:fldChar w:fldCharType="end"/>
      </w:r>
    </w:p>
    <w:p w14:paraId="34B71AD0">
      <w:pPr>
        <w:pStyle w:val="17"/>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_Toc20498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6"/>
          <w:highlight w:val="none"/>
        </w:rPr>
        <w:t>第二章</w:t>
      </w:r>
      <w:r>
        <w:rPr>
          <w:rFonts w:hint="eastAsia" w:ascii="宋体" w:hAnsi="宋体" w:eastAsia="宋体" w:cs="宋体"/>
          <w:color w:val="auto"/>
          <w:szCs w:val="36"/>
          <w:highlight w:val="none"/>
          <w:lang w:val="en-US" w:eastAsia="zh-CN"/>
        </w:rPr>
        <w:t xml:space="preserve"> </w:t>
      </w:r>
      <w:r>
        <w:rPr>
          <w:rFonts w:hint="eastAsia" w:ascii="宋体" w:hAnsi="宋体" w:eastAsia="宋体" w:cs="宋体"/>
          <w:color w:val="auto"/>
          <w:szCs w:val="36"/>
          <w:highlight w:val="none"/>
        </w:rPr>
        <w:t>申请人须知</w:t>
      </w:r>
      <w:r>
        <w:rPr>
          <w:color w:val="auto"/>
          <w:highlight w:val="none"/>
        </w:rPr>
        <w:tab/>
      </w:r>
      <w:r>
        <w:rPr>
          <w:color w:val="auto"/>
          <w:highlight w:val="none"/>
        </w:rPr>
        <w:fldChar w:fldCharType="begin"/>
      </w:r>
      <w:r>
        <w:rPr>
          <w:color w:val="auto"/>
          <w:highlight w:val="none"/>
        </w:rPr>
        <w:instrText xml:space="preserve"> PAGEREF _Toc20498 \h </w:instrText>
      </w:r>
      <w:r>
        <w:rPr>
          <w:color w:val="auto"/>
          <w:highlight w:val="none"/>
        </w:rPr>
        <w:fldChar w:fldCharType="separate"/>
      </w:r>
      <w:r>
        <w:rPr>
          <w:color w:val="auto"/>
          <w:highlight w:val="none"/>
        </w:rPr>
        <w:t>5</w:t>
      </w:r>
      <w:r>
        <w:rPr>
          <w:color w:val="auto"/>
          <w:highlight w:val="none"/>
        </w:rPr>
        <w:fldChar w:fldCharType="end"/>
      </w:r>
      <w:r>
        <w:rPr>
          <w:rFonts w:hint="eastAsia" w:ascii="宋体" w:hAnsi="宋体" w:eastAsia="宋体" w:cs="宋体"/>
          <w:color w:val="auto"/>
          <w:szCs w:val="21"/>
          <w:highlight w:val="none"/>
        </w:rPr>
        <w:fldChar w:fldCharType="end"/>
      </w:r>
    </w:p>
    <w:p w14:paraId="79EF5C93">
      <w:pPr>
        <w:pStyle w:val="17"/>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_Toc15430 </w:instrText>
      </w:r>
      <w:r>
        <w:rPr>
          <w:rFonts w:hint="eastAsia" w:ascii="宋体" w:hAnsi="宋体" w:eastAsia="宋体" w:cs="宋体"/>
          <w:color w:val="auto"/>
          <w:szCs w:val="21"/>
          <w:highlight w:val="none"/>
        </w:rPr>
        <w:fldChar w:fldCharType="separate"/>
      </w:r>
      <w:r>
        <w:rPr>
          <w:rFonts w:hint="eastAsia" w:ascii="宋体" w:hAnsi="宋体" w:eastAsia="宋体" w:cs="宋体"/>
          <w:bCs w:val="0"/>
          <w:color w:val="auto"/>
          <w:kern w:val="0"/>
          <w:szCs w:val="36"/>
          <w:highlight w:val="none"/>
          <w:lang w:val="en-US" w:eastAsia="zh-CN" w:bidi="ar-SA"/>
        </w:rPr>
        <w:t>第三章 评审办法</w:t>
      </w:r>
      <w:r>
        <w:rPr>
          <w:color w:val="auto"/>
          <w:highlight w:val="none"/>
        </w:rPr>
        <w:tab/>
      </w:r>
      <w:r>
        <w:rPr>
          <w:color w:val="auto"/>
          <w:highlight w:val="none"/>
        </w:rPr>
        <w:fldChar w:fldCharType="begin"/>
      </w:r>
      <w:r>
        <w:rPr>
          <w:color w:val="auto"/>
          <w:highlight w:val="none"/>
        </w:rPr>
        <w:instrText xml:space="preserve"> PAGEREF _Toc15430 \h </w:instrText>
      </w:r>
      <w:r>
        <w:rPr>
          <w:color w:val="auto"/>
          <w:highlight w:val="none"/>
        </w:rPr>
        <w:fldChar w:fldCharType="separate"/>
      </w:r>
      <w:r>
        <w:rPr>
          <w:color w:val="auto"/>
          <w:highlight w:val="none"/>
        </w:rPr>
        <w:t>11</w:t>
      </w:r>
      <w:r>
        <w:rPr>
          <w:color w:val="auto"/>
          <w:highlight w:val="none"/>
        </w:rPr>
        <w:fldChar w:fldCharType="end"/>
      </w:r>
      <w:r>
        <w:rPr>
          <w:rFonts w:hint="eastAsia" w:ascii="宋体" w:hAnsi="宋体" w:eastAsia="宋体" w:cs="宋体"/>
          <w:color w:val="auto"/>
          <w:szCs w:val="21"/>
          <w:highlight w:val="none"/>
        </w:rPr>
        <w:fldChar w:fldCharType="end"/>
      </w:r>
    </w:p>
    <w:p w14:paraId="7FACADBF">
      <w:pPr>
        <w:pStyle w:val="17"/>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_Toc17611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6"/>
          <w:highlight w:val="none"/>
        </w:rPr>
        <w:t>第四章 采购需求</w:t>
      </w:r>
      <w:r>
        <w:rPr>
          <w:color w:val="auto"/>
          <w:highlight w:val="none"/>
        </w:rPr>
        <w:tab/>
      </w:r>
      <w:r>
        <w:rPr>
          <w:color w:val="auto"/>
          <w:highlight w:val="none"/>
        </w:rPr>
        <w:fldChar w:fldCharType="begin"/>
      </w:r>
      <w:r>
        <w:rPr>
          <w:color w:val="auto"/>
          <w:highlight w:val="none"/>
        </w:rPr>
        <w:instrText xml:space="preserve"> PAGEREF _Toc17611 \h </w:instrText>
      </w:r>
      <w:r>
        <w:rPr>
          <w:color w:val="auto"/>
          <w:highlight w:val="none"/>
        </w:rPr>
        <w:fldChar w:fldCharType="separate"/>
      </w:r>
      <w:r>
        <w:rPr>
          <w:color w:val="auto"/>
          <w:highlight w:val="none"/>
        </w:rPr>
        <w:t>14</w:t>
      </w:r>
      <w:r>
        <w:rPr>
          <w:color w:val="auto"/>
          <w:highlight w:val="none"/>
        </w:rPr>
        <w:fldChar w:fldCharType="end"/>
      </w:r>
      <w:r>
        <w:rPr>
          <w:rFonts w:hint="eastAsia" w:ascii="宋体" w:hAnsi="宋体" w:eastAsia="宋体" w:cs="宋体"/>
          <w:color w:val="auto"/>
          <w:szCs w:val="21"/>
          <w:highlight w:val="none"/>
        </w:rPr>
        <w:fldChar w:fldCharType="end"/>
      </w:r>
    </w:p>
    <w:p w14:paraId="47A5D28D">
      <w:pPr>
        <w:pStyle w:val="17"/>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_Toc640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6"/>
          <w:highlight w:val="none"/>
        </w:rPr>
        <w:t>第五章 合同条款及格式</w:t>
      </w:r>
      <w:r>
        <w:rPr>
          <w:color w:val="auto"/>
          <w:highlight w:val="none"/>
        </w:rPr>
        <w:tab/>
      </w:r>
      <w:r>
        <w:rPr>
          <w:color w:val="auto"/>
          <w:highlight w:val="none"/>
        </w:rPr>
        <w:fldChar w:fldCharType="begin"/>
      </w:r>
      <w:r>
        <w:rPr>
          <w:color w:val="auto"/>
          <w:highlight w:val="none"/>
        </w:rPr>
        <w:instrText xml:space="preserve"> PAGEREF _Toc640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eastAsia="宋体" w:cs="宋体"/>
          <w:color w:val="auto"/>
          <w:szCs w:val="21"/>
          <w:highlight w:val="none"/>
        </w:rPr>
        <w:fldChar w:fldCharType="end"/>
      </w:r>
    </w:p>
    <w:p w14:paraId="2AD0804A">
      <w:pPr>
        <w:pStyle w:val="17"/>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_Toc3783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6"/>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_Toc3783 \h </w:instrText>
      </w:r>
      <w:r>
        <w:rPr>
          <w:color w:val="auto"/>
          <w:highlight w:val="none"/>
        </w:rPr>
        <w:fldChar w:fldCharType="separate"/>
      </w:r>
      <w:r>
        <w:rPr>
          <w:color w:val="auto"/>
          <w:highlight w:val="none"/>
        </w:rPr>
        <w:t>22</w:t>
      </w:r>
      <w:r>
        <w:rPr>
          <w:color w:val="auto"/>
          <w:highlight w:val="none"/>
        </w:rPr>
        <w:fldChar w:fldCharType="end"/>
      </w:r>
      <w:r>
        <w:rPr>
          <w:rFonts w:hint="eastAsia" w:ascii="宋体" w:hAnsi="宋体" w:eastAsia="宋体" w:cs="宋体"/>
          <w:color w:val="auto"/>
          <w:szCs w:val="21"/>
          <w:highlight w:val="none"/>
        </w:rPr>
        <w:fldChar w:fldCharType="end"/>
      </w:r>
    </w:p>
    <w:p w14:paraId="74AB74F0">
      <w:pPr>
        <w:pStyle w:val="19"/>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_Toc12920 </w:instrText>
      </w:r>
      <w:r>
        <w:rPr>
          <w:rFonts w:hint="eastAsia" w:ascii="宋体" w:hAnsi="宋体" w:eastAsia="宋体" w:cs="宋体"/>
          <w:color w:val="auto"/>
          <w:szCs w:val="21"/>
          <w:highlight w:val="none"/>
        </w:rPr>
        <w:fldChar w:fldCharType="separate"/>
      </w:r>
      <w:r>
        <w:rPr>
          <w:rFonts w:hint="eastAsia" w:ascii="宋体" w:hAnsi="宋体" w:eastAsia="宋体" w:cs="宋体"/>
          <w:bCs w:val="0"/>
          <w:color w:val="auto"/>
          <w:szCs w:val="30"/>
          <w:highlight w:val="none"/>
        </w:rPr>
        <w:t>（一）企业证照</w:t>
      </w:r>
      <w:r>
        <w:rPr>
          <w:color w:val="auto"/>
          <w:highlight w:val="none"/>
        </w:rPr>
        <w:tab/>
      </w:r>
      <w:r>
        <w:rPr>
          <w:color w:val="auto"/>
          <w:highlight w:val="none"/>
        </w:rPr>
        <w:fldChar w:fldCharType="begin"/>
      </w:r>
      <w:r>
        <w:rPr>
          <w:color w:val="auto"/>
          <w:highlight w:val="none"/>
        </w:rPr>
        <w:instrText xml:space="preserve"> PAGEREF _Toc12920 \h </w:instrText>
      </w:r>
      <w:r>
        <w:rPr>
          <w:color w:val="auto"/>
          <w:highlight w:val="none"/>
        </w:rPr>
        <w:fldChar w:fldCharType="separate"/>
      </w:r>
      <w:r>
        <w:rPr>
          <w:color w:val="auto"/>
          <w:highlight w:val="none"/>
        </w:rPr>
        <w:t>23</w:t>
      </w:r>
      <w:r>
        <w:rPr>
          <w:color w:val="auto"/>
          <w:highlight w:val="none"/>
        </w:rPr>
        <w:fldChar w:fldCharType="end"/>
      </w:r>
      <w:r>
        <w:rPr>
          <w:rFonts w:hint="eastAsia" w:ascii="宋体" w:hAnsi="宋体" w:eastAsia="宋体" w:cs="宋体"/>
          <w:color w:val="auto"/>
          <w:szCs w:val="21"/>
          <w:highlight w:val="none"/>
        </w:rPr>
        <w:fldChar w:fldCharType="end"/>
      </w:r>
    </w:p>
    <w:p w14:paraId="596F7049">
      <w:pPr>
        <w:pStyle w:val="19"/>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_Toc14248 </w:instrText>
      </w:r>
      <w:r>
        <w:rPr>
          <w:rFonts w:hint="eastAsia" w:ascii="宋体" w:hAnsi="宋体" w:eastAsia="宋体" w:cs="宋体"/>
          <w:color w:val="auto"/>
          <w:szCs w:val="21"/>
          <w:highlight w:val="none"/>
        </w:rPr>
        <w:fldChar w:fldCharType="separate"/>
      </w:r>
      <w:r>
        <w:rPr>
          <w:rFonts w:hint="eastAsia" w:ascii="宋体" w:hAnsi="宋体" w:eastAsia="宋体" w:cs="宋体"/>
          <w:bCs w:val="0"/>
          <w:color w:val="auto"/>
          <w:szCs w:val="30"/>
          <w:highlight w:val="none"/>
        </w:rPr>
        <w:t>（</w:t>
      </w:r>
      <w:r>
        <w:rPr>
          <w:rFonts w:hint="eastAsia" w:ascii="宋体" w:hAnsi="宋体" w:eastAsia="宋体" w:cs="宋体"/>
          <w:bCs w:val="0"/>
          <w:color w:val="auto"/>
          <w:szCs w:val="30"/>
          <w:highlight w:val="none"/>
          <w:lang w:val="en-US" w:eastAsia="zh-CN"/>
        </w:rPr>
        <w:t>二</w:t>
      </w:r>
      <w:r>
        <w:rPr>
          <w:rFonts w:hint="eastAsia" w:ascii="宋体" w:hAnsi="宋体" w:eastAsia="宋体" w:cs="宋体"/>
          <w:bCs w:val="0"/>
          <w:color w:val="auto"/>
          <w:szCs w:val="30"/>
          <w:highlight w:val="none"/>
        </w:rPr>
        <w:t>）近三年类似业绩一览表</w:t>
      </w:r>
      <w:r>
        <w:rPr>
          <w:color w:val="auto"/>
          <w:highlight w:val="none"/>
        </w:rPr>
        <w:tab/>
      </w:r>
      <w:r>
        <w:rPr>
          <w:color w:val="auto"/>
          <w:highlight w:val="none"/>
        </w:rPr>
        <w:fldChar w:fldCharType="begin"/>
      </w:r>
      <w:r>
        <w:rPr>
          <w:color w:val="auto"/>
          <w:highlight w:val="none"/>
        </w:rPr>
        <w:instrText xml:space="preserve"> PAGEREF _Toc14248 \h </w:instrText>
      </w:r>
      <w:r>
        <w:rPr>
          <w:color w:val="auto"/>
          <w:highlight w:val="none"/>
        </w:rPr>
        <w:fldChar w:fldCharType="separate"/>
      </w:r>
      <w:r>
        <w:rPr>
          <w:color w:val="auto"/>
          <w:highlight w:val="none"/>
        </w:rPr>
        <w:t>24</w:t>
      </w:r>
      <w:r>
        <w:rPr>
          <w:color w:val="auto"/>
          <w:highlight w:val="none"/>
        </w:rPr>
        <w:fldChar w:fldCharType="end"/>
      </w:r>
      <w:r>
        <w:rPr>
          <w:rFonts w:hint="eastAsia" w:ascii="宋体" w:hAnsi="宋体" w:eastAsia="宋体" w:cs="宋体"/>
          <w:color w:val="auto"/>
          <w:szCs w:val="21"/>
          <w:highlight w:val="none"/>
        </w:rPr>
        <w:fldChar w:fldCharType="end"/>
      </w:r>
    </w:p>
    <w:p w14:paraId="1CAA9554">
      <w:pPr>
        <w:pStyle w:val="19"/>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_Toc20414 </w:instrText>
      </w:r>
      <w:r>
        <w:rPr>
          <w:rFonts w:hint="eastAsia" w:ascii="宋体" w:hAnsi="宋体" w:eastAsia="宋体" w:cs="宋体"/>
          <w:color w:val="auto"/>
          <w:szCs w:val="21"/>
          <w:highlight w:val="none"/>
        </w:rPr>
        <w:fldChar w:fldCharType="separate"/>
      </w:r>
      <w:r>
        <w:rPr>
          <w:rFonts w:hint="eastAsia" w:ascii="宋体" w:hAnsi="宋体" w:eastAsia="宋体" w:cs="宋体"/>
          <w:bCs w:val="0"/>
          <w:color w:val="auto"/>
          <w:szCs w:val="30"/>
          <w:highlight w:val="none"/>
        </w:rPr>
        <w:t>（</w:t>
      </w:r>
      <w:r>
        <w:rPr>
          <w:rFonts w:hint="eastAsia" w:ascii="宋体" w:hAnsi="宋体" w:eastAsia="宋体" w:cs="宋体"/>
          <w:bCs w:val="0"/>
          <w:color w:val="auto"/>
          <w:szCs w:val="30"/>
          <w:highlight w:val="none"/>
          <w:lang w:val="en-US" w:eastAsia="zh-CN"/>
        </w:rPr>
        <w:t>三</w:t>
      </w:r>
      <w:r>
        <w:rPr>
          <w:rFonts w:hint="eastAsia" w:ascii="宋体" w:hAnsi="宋体" w:eastAsia="宋体" w:cs="宋体"/>
          <w:bCs w:val="0"/>
          <w:color w:val="auto"/>
          <w:szCs w:val="30"/>
          <w:highlight w:val="none"/>
        </w:rPr>
        <w:t>）财务状况表</w:t>
      </w:r>
      <w:r>
        <w:rPr>
          <w:color w:val="auto"/>
          <w:highlight w:val="none"/>
        </w:rPr>
        <w:tab/>
      </w:r>
      <w:r>
        <w:rPr>
          <w:color w:val="auto"/>
          <w:highlight w:val="none"/>
        </w:rPr>
        <w:fldChar w:fldCharType="begin"/>
      </w:r>
      <w:r>
        <w:rPr>
          <w:color w:val="auto"/>
          <w:highlight w:val="none"/>
        </w:rPr>
        <w:instrText xml:space="preserve"> PAGEREF _Toc20414 \h </w:instrText>
      </w:r>
      <w:r>
        <w:rPr>
          <w:color w:val="auto"/>
          <w:highlight w:val="none"/>
        </w:rPr>
        <w:fldChar w:fldCharType="separate"/>
      </w:r>
      <w:r>
        <w:rPr>
          <w:color w:val="auto"/>
          <w:highlight w:val="none"/>
        </w:rPr>
        <w:t>25</w:t>
      </w:r>
      <w:r>
        <w:rPr>
          <w:color w:val="auto"/>
          <w:highlight w:val="none"/>
        </w:rPr>
        <w:fldChar w:fldCharType="end"/>
      </w:r>
      <w:r>
        <w:rPr>
          <w:rFonts w:hint="eastAsia" w:ascii="宋体" w:hAnsi="宋体" w:eastAsia="宋体" w:cs="宋体"/>
          <w:color w:val="auto"/>
          <w:szCs w:val="21"/>
          <w:highlight w:val="none"/>
        </w:rPr>
        <w:fldChar w:fldCharType="end"/>
      </w:r>
    </w:p>
    <w:p w14:paraId="70E130A8">
      <w:pPr>
        <w:pStyle w:val="19"/>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_Toc26426 </w:instrText>
      </w:r>
      <w:r>
        <w:rPr>
          <w:rFonts w:hint="eastAsia" w:ascii="宋体" w:hAnsi="宋体" w:eastAsia="宋体" w:cs="宋体"/>
          <w:color w:val="auto"/>
          <w:szCs w:val="21"/>
          <w:highlight w:val="none"/>
        </w:rPr>
        <w:fldChar w:fldCharType="separate"/>
      </w:r>
      <w:r>
        <w:rPr>
          <w:rFonts w:hint="eastAsia" w:ascii="宋体" w:hAnsi="宋体" w:eastAsia="宋体" w:cs="宋体"/>
          <w:bCs w:val="0"/>
          <w:color w:val="auto"/>
          <w:szCs w:val="30"/>
          <w:highlight w:val="none"/>
        </w:rPr>
        <w:t>（</w:t>
      </w:r>
      <w:r>
        <w:rPr>
          <w:rFonts w:hint="eastAsia" w:ascii="宋体" w:hAnsi="宋体" w:eastAsia="宋体" w:cs="宋体"/>
          <w:bCs w:val="0"/>
          <w:color w:val="auto"/>
          <w:szCs w:val="30"/>
          <w:highlight w:val="none"/>
          <w:lang w:val="en-US" w:eastAsia="zh-CN"/>
        </w:rPr>
        <w:t>四</w:t>
      </w:r>
      <w:r>
        <w:rPr>
          <w:rFonts w:hint="eastAsia" w:ascii="宋体" w:hAnsi="宋体" w:eastAsia="宋体" w:cs="宋体"/>
          <w:bCs w:val="0"/>
          <w:color w:val="auto"/>
          <w:szCs w:val="30"/>
          <w:highlight w:val="none"/>
        </w:rPr>
        <w:t>）企业信誉情况</w:t>
      </w:r>
      <w:r>
        <w:rPr>
          <w:color w:val="auto"/>
          <w:highlight w:val="none"/>
        </w:rPr>
        <w:tab/>
      </w:r>
      <w:r>
        <w:rPr>
          <w:color w:val="auto"/>
          <w:highlight w:val="none"/>
        </w:rPr>
        <w:fldChar w:fldCharType="begin"/>
      </w:r>
      <w:r>
        <w:rPr>
          <w:color w:val="auto"/>
          <w:highlight w:val="none"/>
        </w:rPr>
        <w:instrText xml:space="preserve"> PAGEREF _Toc26426 \h </w:instrText>
      </w:r>
      <w:r>
        <w:rPr>
          <w:color w:val="auto"/>
          <w:highlight w:val="none"/>
        </w:rPr>
        <w:fldChar w:fldCharType="separate"/>
      </w:r>
      <w:r>
        <w:rPr>
          <w:color w:val="auto"/>
          <w:highlight w:val="none"/>
        </w:rPr>
        <w:t>26</w:t>
      </w:r>
      <w:r>
        <w:rPr>
          <w:color w:val="auto"/>
          <w:highlight w:val="none"/>
        </w:rPr>
        <w:fldChar w:fldCharType="end"/>
      </w:r>
      <w:r>
        <w:rPr>
          <w:rFonts w:hint="eastAsia" w:ascii="宋体" w:hAnsi="宋体" w:eastAsia="宋体" w:cs="宋体"/>
          <w:color w:val="auto"/>
          <w:szCs w:val="21"/>
          <w:highlight w:val="none"/>
        </w:rPr>
        <w:fldChar w:fldCharType="end"/>
      </w:r>
    </w:p>
    <w:p w14:paraId="58B9C4DC">
      <w:pPr>
        <w:pStyle w:val="19"/>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_Toc15739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0"/>
          <w:highlight w:val="none"/>
        </w:rPr>
        <w:t>（</w:t>
      </w:r>
      <w:r>
        <w:rPr>
          <w:rFonts w:hint="eastAsia" w:ascii="宋体" w:hAnsi="宋体" w:eastAsia="宋体" w:cs="宋体"/>
          <w:color w:val="auto"/>
          <w:szCs w:val="30"/>
          <w:highlight w:val="none"/>
          <w:lang w:val="en-US" w:eastAsia="zh-CN"/>
        </w:rPr>
        <w:t>五</w:t>
      </w:r>
      <w:r>
        <w:rPr>
          <w:rFonts w:hint="eastAsia" w:ascii="宋体" w:hAnsi="宋体" w:eastAsia="宋体" w:cs="宋体"/>
          <w:color w:val="auto"/>
          <w:szCs w:val="30"/>
          <w:highlight w:val="none"/>
        </w:rPr>
        <w:t>）廉政承诺书</w:t>
      </w:r>
      <w:r>
        <w:rPr>
          <w:color w:val="auto"/>
          <w:highlight w:val="none"/>
        </w:rPr>
        <w:tab/>
      </w:r>
      <w:r>
        <w:rPr>
          <w:color w:val="auto"/>
          <w:highlight w:val="none"/>
        </w:rPr>
        <w:fldChar w:fldCharType="begin"/>
      </w:r>
      <w:r>
        <w:rPr>
          <w:color w:val="auto"/>
          <w:highlight w:val="none"/>
        </w:rPr>
        <w:instrText xml:space="preserve"> PAGEREF _Toc15739 \h </w:instrText>
      </w:r>
      <w:r>
        <w:rPr>
          <w:color w:val="auto"/>
          <w:highlight w:val="none"/>
        </w:rPr>
        <w:fldChar w:fldCharType="separate"/>
      </w:r>
      <w:r>
        <w:rPr>
          <w:color w:val="auto"/>
          <w:highlight w:val="none"/>
        </w:rPr>
        <w:t>27</w:t>
      </w:r>
      <w:r>
        <w:rPr>
          <w:color w:val="auto"/>
          <w:highlight w:val="none"/>
        </w:rPr>
        <w:fldChar w:fldCharType="end"/>
      </w:r>
      <w:r>
        <w:rPr>
          <w:rFonts w:hint="eastAsia" w:ascii="宋体" w:hAnsi="宋体" w:eastAsia="宋体" w:cs="宋体"/>
          <w:color w:val="auto"/>
          <w:szCs w:val="21"/>
          <w:highlight w:val="none"/>
        </w:rPr>
        <w:fldChar w:fldCharType="end"/>
      </w:r>
    </w:p>
    <w:p w14:paraId="543CB634">
      <w:pPr>
        <w:pStyle w:val="19"/>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_Toc28873 </w:instrText>
      </w:r>
      <w:r>
        <w:rPr>
          <w:rFonts w:hint="eastAsia" w:ascii="宋体" w:hAnsi="宋体" w:eastAsia="宋体" w:cs="宋体"/>
          <w:color w:val="auto"/>
          <w:szCs w:val="21"/>
          <w:highlight w:val="none"/>
        </w:rPr>
        <w:fldChar w:fldCharType="separate"/>
      </w:r>
      <w:r>
        <w:rPr>
          <w:rFonts w:hint="eastAsia" w:ascii="宋体" w:hAnsi="宋体" w:eastAsia="宋体" w:cs="宋体"/>
          <w:bCs w:val="0"/>
          <w:color w:val="auto"/>
          <w:szCs w:val="30"/>
          <w:highlight w:val="none"/>
        </w:rPr>
        <w:t>（</w:t>
      </w:r>
      <w:r>
        <w:rPr>
          <w:rFonts w:hint="eastAsia" w:ascii="宋体" w:hAnsi="宋体" w:eastAsia="宋体" w:cs="宋体"/>
          <w:bCs w:val="0"/>
          <w:color w:val="auto"/>
          <w:szCs w:val="30"/>
          <w:highlight w:val="none"/>
          <w:lang w:val="en-US" w:eastAsia="zh-CN"/>
        </w:rPr>
        <w:t>六</w:t>
      </w:r>
      <w:r>
        <w:rPr>
          <w:rFonts w:hint="eastAsia" w:ascii="宋体" w:hAnsi="宋体" w:eastAsia="宋体" w:cs="宋体"/>
          <w:bCs w:val="0"/>
          <w:color w:val="auto"/>
          <w:szCs w:val="30"/>
          <w:highlight w:val="none"/>
        </w:rPr>
        <w:t>）法定代表人（合伙人）身份证明</w:t>
      </w:r>
      <w:r>
        <w:rPr>
          <w:color w:val="auto"/>
          <w:highlight w:val="none"/>
        </w:rPr>
        <w:tab/>
      </w:r>
      <w:r>
        <w:rPr>
          <w:color w:val="auto"/>
          <w:highlight w:val="none"/>
        </w:rPr>
        <w:fldChar w:fldCharType="begin"/>
      </w:r>
      <w:r>
        <w:rPr>
          <w:color w:val="auto"/>
          <w:highlight w:val="none"/>
        </w:rPr>
        <w:instrText xml:space="preserve"> PAGEREF _Toc28873 \h </w:instrText>
      </w:r>
      <w:r>
        <w:rPr>
          <w:color w:val="auto"/>
          <w:highlight w:val="none"/>
        </w:rPr>
        <w:fldChar w:fldCharType="separate"/>
      </w:r>
      <w:r>
        <w:rPr>
          <w:color w:val="auto"/>
          <w:highlight w:val="none"/>
        </w:rPr>
        <w:t>28</w:t>
      </w:r>
      <w:r>
        <w:rPr>
          <w:color w:val="auto"/>
          <w:highlight w:val="none"/>
        </w:rPr>
        <w:fldChar w:fldCharType="end"/>
      </w:r>
      <w:r>
        <w:rPr>
          <w:rFonts w:hint="eastAsia" w:ascii="宋体" w:hAnsi="宋体" w:eastAsia="宋体" w:cs="宋体"/>
          <w:color w:val="auto"/>
          <w:szCs w:val="21"/>
          <w:highlight w:val="none"/>
        </w:rPr>
        <w:fldChar w:fldCharType="end"/>
      </w:r>
    </w:p>
    <w:p w14:paraId="2357D843">
      <w:pPr>
        <w:pStyle w:val="19"/>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_Toc20510 </w:instrText>
      </w:r>
      <w:r>
        <w:rPr>
          <w:rFonts w:hint="eastAsia" w:ascii="宋体" w:hAnsi="宋体" w:eastAsia="宋体" w:cs="宋体"/>
          <w:color w:val="auto"/>
          <w:szCs w:val="21"/>
          <w:highlight w:val="none"/>
        </w:rPr>
        <w:fldChar w:fldCharType="separate"/>
      </w:r>
      <w:r>
        <w:rPr>
          <w:rFonts w:hint="eastAsia" w:ascii="宋体" w:hAnsi="宋体" w:eastAsia="宋体" w:cs="宋体"/>
          <w:bCs w:val="0"/>
          <w:color w:val="auto"/>
          <w:szCs w:val="30"/>
          <w:highlight w:val="none"/>
        </w:rPr>
        <w:t>（</w:t>
      </w:r>
      <w:r>
        <w:rPr>
          <w:rFonts w:hint="eastAsia" w:ascii="宋体" w:hAnsi="宋体" w:eastAsia="宋体" w:cs="宋体"/>
          <w:bCs w:val="0"/>
          <w:color w:val="auto"/>
          <w:szCs w:val="30"/>
          <w:highlight w:val="none"/>
          <w:lang w:val="en-US" w:eastAsia="zh-CN"/>
        </w:rPr>
        <w:t>七</w:t>
      </w:r>
      <w:r>
        <w:rPr>
          <w:rFonts w:hint="eastAsia" w:ascii="宋体" w:hAnsi="宋体" w:eastAsia="宋体" w:cs="宋体"/>
          <w:bCs w:val="0"/>
          <w:color w:val="auto"/>
          <w:szCs w:val="30"/>
          <w:highlight w:val="none"/>
        </w:rPr>
        <w:t>）授权委托书</w:t>
      </w:r>
      <w:r>
        <w:rPr>
          <w:color w:val="auto"/>
          <w:highlight w:val="none"/>
        </w:rPr>
        <w:tab/>
      </w:r>
      <w:r>
        <w:rPr>
          <w:color w:val="auto"/>
          <w:highlight w:val="none"/>
        </w:rPr>
        <w:fldChar w:fldCharType="begin"/>
      </w:r>
      <w:r>
        <w:rPr>
          <w:color w:val="auto"/>
          <w:highlight w:val="none"/>
        </w:rPr>
        <w:instrText xml:space="preserve"> PAGEREF _Toc20510 \h </w:instrText>
      </w:r>
      <w:r>
        <w:rPr>
          <w:color w:val="auto"/>
          <w:highlight w:val="none"/>
        </w:rPr>
        <w:fldChar w:fldCharType="separate"/>
      </w:r>
      <w:r>
        <w:rPr>
          <w:color w:val="auto"/>
          <w:highlight w:val="none"/>
        </w:rPr>
        <w:t>29</w:t>
      </w:r>
      <w:r>
        <w:rPr>
          <w:color w:val="auto"/>
          <w:highlight w:val="none"/>
        </w:rPr>
        <w:fldChar w:fldCharType="end"/>
      </w:r>
      <w:r>
        <w:rPr>
          <w:rFonts w:hint="eastAsia" w:ascii="宋体" w:hAnsi="宋体" w:eastAsia="宋体" w:cs="宋体"/>
          <w:color w:val="auto"/>
          <w:szCs w:val="21"/>
          <w:highlight w:val="none"/>
        </w:rPr>
        <w:fldChar w:fldCharType="end"/>
      </w:r>
    </w:p>
    <w:p w14:paraId="0272CCBE">
      <w:pPr>
        <w:pStyle w:val="19"/>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_Toc13327 </w:instrText>
      </w:r>
      <w:r>
        <w:rPr>
          <w:rFonts w:hint="eastAsia" w:ascii="宋体" w:hAnsi="宋体" w:eastAsia="宋体" w:cs="宋体"/>
          <w:color w:val="auto"/>
          <w:szCs w:val="21"/>
          <w:highlight w:val="none"/>
        </w:rPr>
        <w:fldChar w:fldCharType="separate"/>
      </w:r>
      <w:r>
        <w:rPr>
          <w:rFonts w:hint="eastAsia" w:ascii="宋体" w:hAnsi="宋体" w:eastAsia="宋体" w:cs="宋体"/>
          <w:bCs w:val="0"/>
          <w:color w:val="auto"/>
          <w:szCs w:val="30"/>
          <w:highlight w:val="none"/>
        </w:rPr>
        <w:t>（八） 报价一览表</w:t>
      </w:r>
      <w:r>
        <w:rPr>
          <w:color w:val="auto"/>
          <w:highlight w:val="none"/>
        </w:rPr>
        <w:tab/>
      </w:r>
      <w:r>
        <w:rPr>
          <w:color w:val="auto"/>
          <w:highlight w:val="none"/>
        </w:rPr>
        <w:fldChar w:fldCharType="begin"/>
      </w:r>
      <w:r>
        <w:rPr>
          <w:color w:val="auto"/>
          <w:highlight w:val="none"/>
        </w:rPr>
        <w:instrText xml:space="preserve"> PAGEREF _Toc13327 \h </w:instrText>
      </w:r>
      <w:r>
        <w:rPr>
          <w:color w:val="auto"/>
          <w:highlight w:val="none"/>
        </w:rPr>
        <w:fldChar w:fldCharType="separate"/>
      </w:r>
      <w:r>
        <w:rPr>
          <w:color w:val="auto"/>
          <w:highlight w:val="none"/>
        </w:rPr>
        <w:t>30</w:t>
      </w:r>
      <w:r>
        <w:rPr>
          <w:color w:val="auto"/>
          <w:highlight w:val="none"/>
        </w:rPr>
        <w:fldChar w:fldCharType="end"/>
      </w:r>
      <w:r>
        <w:rPr>
          <w:rFonts w:hint="eastAsia" w:ascii="宋体" w:hAnsi="宋体" w:eastAsia="宋体" w:cs="宋体"/>
          <w:color w:val="auto"/>
          <w:szCs w:val="21"/>
          <w:highlight w:val="none"/>
        </w:rPr>
        <w:fldChar w:fldCharType="end"/>
      </w:r>
    </w:p>
    <w:p w14:paraId="1282BFFD">
      <w:pPr>
        <w:pStyle w:val="19"/>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_Toc16922 </w:instrText>
      </w:r>
      <w:r>
        <w:rPr>
          <w:rFonts w:hint="eastAsia" w:ascii="宋体" w:hAnsi="宋体" w:eastAsia="宋体" w:cs="宋体"/>
          <w:color w:val="auto"/>
          <w:szCs w:val="21"/>
          <w:highlight w:val="none"/>
        </w:rPr>
        <w:fldChar w:fldCharType="separate"/>
      </w:r>
      <w:r>
        <w:rPr>
          <w:rFonts w:hint="eastAsia" w:ascii="宋体" w:hAnsi="宋体" w:eastAsia="宋体" w:cs="宋体"/>
          <w:bCs/>
          <w:color w:val="auto"/>
          <w:szCs w:val="30"/>
          <w:highlight w:val="none"/>
          <w:lang w:val="en-US" w:eastAsia="zh-CN" w:bidi="ar-SA"/>
        </w:rPr>
        <w:t>（九）承诺函</w:t>
      </w:r>
      <w:r>
        <w:rPr>
          <w:color w:val="auto"/>
          <w:highlight w:val="none"/>
        </w:rPr>
        <w:tab/>
      </w:r>
      <w:r>
        <w:rPr>
          <w:color w:val="auto"/>
          <w:highlight w:val="none"/>
        </w:rPr>
        <w:fldChar w:fldCharType="begin"/>
      </w:r>
      <w:r>
        <w:rPr>
          <w:color w:val="auto"/>
          <w:highlight w:val="none"/>
        </w:rPr>
        <w:instrText xml:space="preserve"> PAGEREF _Toc16922 \h </w:instrText>
      </w:r>
      <w:r>
        <w:rPr>
          <w:color w:val="auto"/>
          <w:highlight w:val="none"/>
        </w:rPr>
        <w:fldChar w:fldCharType="separate"/>
      </w:r>
      <w:r>
        <w:rPr>
          <w:color w:val="auto"/>
          <w:highlight w:val="none"/>
        </w:rPr>
        <w:t>32</w:t>
      </w:r>
      <w:r>
        <w:rPr>
          <w:color w:val="auto"/>
          <w:highlight w:val="none"/>
        </w:rPr>
        <w:fldChar w:fldCharType="end"/>
      </w:r>
      <w:r>
        <w:rPr>
          <w:rFonts w:hint="eastAsia" w:ascii="宋体" w:hAnsi="宋体" w:eastAsia="宋体" w:cs="宋体"/>
          <w:color w:val="auto"/>
          <w:szCs w:val="21"/>
          <w:highlight w:val="none"/>
        </w:rPr>
        <w:fldChar w:fldCharType="end"/>
      </w:r>
    </w:p>
    <w:p w14:paraId="1EA6E885">
      <w:pPr>
        <w:pStyle w:val="19"/>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_Toc28653 </w:instrText>
      </w:r>
      <w:r>
        <w:rPr>
          <w:rFonts w:hint="eastAsia" w:ascii="宋体" w:hAnsi="宋体" w:eastAsia="宋体" w:cs="宋体"/>
          <w:color w:val="auto"/>
          <w:szCs w:val="21"/>
          <w:highlight w:val="none"/>
        </w:rPr>
        <w:fldChar w:fldCharType="separate"/>
      </w:r>
      <w:r>
        <w:rPr>
          <w:rFonts w:hint="eastAsia" w:ascii="宋体" w:hAnsi="宋体" w:eastAsia="宋体" w:cs="宋体"/>
          <w:bCs/>
          <w:color w:val="auto"/>
          <w:szCs w:val="30"/>
          <w:highlight w:val="none"/>
          <w:lang w:val="en-US" w:eastAsia="zh-CN" w:bidi="ar-SA"/>
        </w:rPr>
        <w:t>（十）</w:t>
      </w:r>
      <w:r>
        <w:rPr>
          <w:rFonts w:hint="eastAsia" w:ascii="宋体" w:hAnsi="宋体" w:eastAsia="宋体" w:cs="宋体"/>
          <w:bCs w:val="0"/>
          <w:color w:val="auto"/>
          <w:szCs w:val="30"/>
          <w:highlight w:val="none"/>
          <w:lang w:val="en-US" w:eastAsia="zh-CN"/>
        </w:rPr>
        <w:t>针对本项目拟提供的服务方案</w:t>
      </w:r>
      <w:r>
        <w:rPr>
          <w:color w:val="auto"/>
          <w:highlight w:val="none"/>
        </w:rPr>
        <w:tab/>
      </w:r>
      <w:r>
        <w:rPr>
          <w:color w:val="auto"/>
          <w:highlight w:val="none"/>
        </w:rPr>
        <w:fldChar w:fldCharType="begin"/>
      </w:r>
      <w:r>
        <w:rPr>
          <w:color w:val="auto"/>
          <w:highlight w:val="none"/>
        </w:rPr>
        <w:instrText xml:space="preserve"> PAGEREF _Toc28653 \h </w:instrText>
      </w:r>
      <w:r>
        <w:rPr>
          <w:color w:val="auto"/>
          <w:highlight w:val="none"/>
        </w:rPr>
        <w:fldChar w:fldCharType="separate"/>
      </w:r>
      <w:r>
        <w:rPr>
          <w:color w:val="auto"/>
          <w:highlight w:val="none"/>
        </w:rPr>
        <w:t>33</w:t>
      </w:r>
      <w:r>
        <w:rPr>
          <w:color w:val="auto"/>
          <w:highlight w:val="none"/>
        </w:rPr>
        <w:fldChar w:fldCharType="end"/>
      </w:r>
      <w:r>
        <w:rPr>
          <w:rFonts w:hint="eastAsia" w:ascii="宋体" w:hAnsi="宋体" w:eastAsia="宋体" w:cs="宋体"/>
          <w:color w:val="auto"/>
          <w:szCs w:val="21"/>
          <w:highlight w:val="none"/>
        </w:rPr>
        <w:fldChar w:fldCharType="end"/>
      </w:r>
    </w:p>
    <w:p w14:paraId="7AE5B0C8">
      <w:pPr>
        <w:pStyle w:val="19"/>
        <w:tabs>
          <w:tab w:val="right" w:leader="hyphen" w:pos="8504"/>
        </w:tabs>
        <w:rPr>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_Toc25893 </w:instrText>
      </w:r>
      <w:r>
        <w:rPr>
          <w:rFonts w:hint="eastAsia" w:ascii="宋体" w:hAnsi="宋体" w:eastAsia="宋体" w:cs="宋体"/>
          <w:color w:val="auto"/>
          <w:szCs w:val="21"/>
          <w:highlight w:val="none"/>
        </w:rPr>
        <w:fldChar w:fldCharType="separate"/>
      </w:r>
      <w:r>
        <w:rPr>
          <w:rFonts w:hint="eastAsia" w:ascii="宋体" w:hAnsi="宋体" w:eastAsia="宋体" w:cs="宋体"/>
          <w:bCs w:val="0"/>
          <w:color w:val="auto"/>
          <w:szCs w:val="30"/>
          <w:highlight w:val="none"/>
        </w:rPr>
        <w:t>（十</w:t>
      </w:r>
      <w:r>
        <w:rPr>
          <w:rFonts w:hint="eastAsia" w:ascii="宋体" w:hAnsi="宋体" w:eastAsia="宋体" w:cs="宋体"/>
          <w:bCs w:val="0"/>
          <w:color w:val="auto"/>
          <w:szCs w:val="30"/>
          <w:highlight w:val="none"/>
          <w:lang w:val="en-US" w:eastAsia="zh-CN"/>
        </w:rPr>
        <w:t>一</w:t>
      </w:r>
      <w:r>
        <w:rPr>
          <w:rFonts w:hint="eastAsia" w:ascii="宋体" w:hAnsi="宋体" w:eastAsia="宋体" w:cs="宋体"/>
          <w:bCs w:val="0"/>
          <w:color w:val="auto"/>
          <w:szCs w:val="30"/>
          <w:highlight w:val="none"/>
        </w:rPr>
        <w:t>）申请人认为有必要提供的其他资料</w:t>
      </w:r>
      <w:r>
        <w:rPr>
          <w:color w:val="auto"/>
          <w:highlight w:val="none"/>
        </w:rPr>
        <w:tab/>
      </w:r>
      <w:r>
        <w:rPr>
          <w:color w:val="auto"/>
          <w:highlight w:val="none"/>
        </w:rPr>
        <w:fldChar w:fldCharType="begin"/>
      </w:r>
      <w:r>
        <w:rPr>
          <w:color w:val="auto"/>
          <w:highlight w:val="none"/>
        </w:rPr>
        <w:instrText xml:space="preserve"> PAGEREF _Toc25893 \h </w:instrText>
      </w:r>
      <w:r>
        <w:rPr>
          <w:color w:val="auto"/>
          <w:highlight w:val="none"/>
        </w:rPr>
        <w:fldChar w:fldCharType="separate"/>
      </w:r>
      <w:r>
        <w:rPr>
          <w:color w:val="auto"/>
          <w:highlight w:val="none"/>
        </w:rPr>
        <w:t>34</w:t>
      </w:r>
      <w:r>
        <w:rPr>
          <w:color w:val="auto"/>
          <w:highlight w:val="none"/>
        </w:rPr>
        <w:fldChar w:fldCharType="end"/>
      </w:r>
      <w:r>
        <w:rPr>
          <w:rFonts w:hint="eastAsia" w:ascii="宋体" w:hAnsi="宋体" w:eastAsia="宋体" w:cs="宋体"/>
          <w:color w:val="auto"/>
          <w:szCs w:val="21"/>
          <w:highlight w:val="none"/>
        </w:rPr>
        <w:fldChar w:fldCharType="end"/>
      </w:r>
    </w:p>
    <w:p w14:paraId="1CE9333C">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cs="宋体"/>
          <w:color w:val="auto"/>
          <w:sz w:val="36"/>
          <w:szCs w:val="36"/>
          <w:highlight w:val="none"/>
        </w:rPr>
        <w:sectPr>
          <w:headerReference r:id="rId3" w:type="default"/>
          <w:pgSz w:w="11906" w:h="16838"/>
          <w:pgMar w:top="1134" w:right="1701" w:bottom="1134" w:left="1701" w:header="851" w:footer="992" w:gutter="0"/>
          <w:pgNumType w:start="1"/>
          <w:cols w:space="720" w:num="1"/>
          <w:docGrid w:type="lines" w:linePitch="312" w:charSpace="0"/>
        </w:sectPr>
      </w:pPr>
      <w:r>
        <w:rPr>
          <w:rFonts w:hint="eastAsia" w:ascii="宋体" w:hAnsi="宋体" w:eastAsia="宋体" w:cs="宋体"/>
          <w:color w:val="auto"/>
          <w:szCs w:val="21"/>
          <w:highlight w:val="none"/>
        </w:rPr>
        <w:fldChar w:fldCharType="end"/>
      </w:r>
    </w:p>
    <w:bookmarkEnd w:id="2"/>
    <w:p w14:paraId="76EB5027">
      <w:pPr>
        <w:spacing w:line="520" w:lineRule="exact"/>
        <w:jc w:val="center"/>
        <w:outlineLvl w:val="0"/>
        <w:rPr>
          <w:rFonts w:hint="eastAsia" w:ascii="宋体" w:hAnsi="宋体" w:eastAsia="宋体" w:cs="宋体"/>
          <w:color w:val="auto"/>
          <w:sz w:val="36"/>
          <w:szCs w:val="36"/>
          <w:highlight w:val="none"/>
          <w:lang w:eastAsia="zh-CN"/>
        </w:rPr>
      </w:pPr>
      <w:bookmarkStart w:id="5" w:name="_Toc4645"/>
      <w:bookmarkStart w:id="6" w:name="_Toc2170"/>
      <w:bookmarkStart w:id="7" w:name="_Toc9537"/>
      <w:r>
        <w:rPr>
          <w:rFonts w:hint="eastAsia" w:ascii="宋体" w:hAnsi="宋体" w:eastAsia="宋体" w:cs="宋体"/>
          <w:color w:val="auto"/>
          <w:sz w:val="36"/>
          <w:szCs w:val="36"/>
          <w:highlight w:val="none"/>
        </w:rPr>
        <w:t xml:space="preserve">第一章 </w:t>
      </w:r>
      <w:bookmarkEnd w:id="5"/>
      <w:bookmarkStart w:id="8" w:name="_Toc152042295"/>
      <w:bookmarkStart w:id="9" w:name="_Toc246996909"/>
      <w:bookmarkStart w:id="10" w:name="_Toc296602410"/>
      <w:bookmarkStart w:id="11" w:name="_Toc246996166"/>
      <w:bookmarkStart w:id="12" w:name="_Toc152045519"/>
      <w:bookmarkStart w:id="13" w:name="_Toc432792961"/>
      <w:bookmarkStart w:id="14" w:name="_Toc144974487"/>
      <w:bookmarkStart w:id="15" w:name="_Toc247085680"/>
      <w:bookmarkStart w:id="16" w:name="_Toc179632536"/>
      <w:r>
        <w:rPr>
          <w:rFonts w:hint="eastAsia" w:ascii="宋体" w:hAnsi="宋体" w:eastAsia="宋体" w:cs="宋体"/>
          <w:color w:val="auto"/>
          <w:sz w:val="36"/>
          <w:szCs w:val="36"/>
          <w:highlight w:val="none"/>
          <w:lang w:eastAsia="zh-CN"/>
        </w:rPr>
        <w:t>询价</w:t>
      </w:r>
      <w:bookmarkEnd w:id="6"/>
      <w:r>
        <w:rPr>
          <w:rFonts w:hint="eastAsia" w:ascii="宋体" w:hAnsi="宋体" w:cs="宋体"/>
          <w:color w:val="auto"/>
          <w:sz w:val="36"/>
          <w:szCs w:val="36"/>
          <w:highlight w:val="none"/>
          <w:lang w:val="en-US" w:eastAsia="zh-CN"/>
        </w:rPr>
        <w:t>公告</w:t>
      </w:r>
    </w:p>
    <w:p w14:paraId="7FE4D554">
      <w:pPr>
        <w:spacing w:line="520" w:lineRule="exact"/>
        <w:jc w:val="center"/>
        <w:rPr>
          <w:rFonts w:hint="default" w:ascii="宋体" w:hAnsi="宋体" w:eastAsia="宋体" w:cs="宋体"/>
          <w:color w:val="auto"/>
          <w:sz w:val="28"/>
          <w:szCs w:val="28"/>
          <w:highlight w:val="none"/>
          <w:lang w:val="en-US" w:eastAsia="zh-CN"/>
        </w:rPr>
      </w:pPr>
      <w:r>
        <w:rPr>
          <w:rFonts w:hint="eastAsia" w:ascii="宋体" w:hAnsi="宋体" w:cs="宋体"/>
          <w:color w:val="auto"/>
          <w:sz w:val="32"/>
          <w:szCs w:val="32"/>
          <w:highlight w:val="none"/>
          <w:lang w:eastAsia="zh-CN"/>
        </w:rPr>
        <w:t>昆明鑫安道路设施维护有限公司清算报告服务项目（四次）</w:t>
      </w:r>
      <w:bookmarkStart w:id="17" w:name="_Toc32431"/>
      <w:bookmarkStart w:id="18" w:name="_Toc27752"/>
      <w:r>
        <w:rPr>
          <w:rFonts w:hint="eastAsia" w:ascii="宋体" w:hAnsi="宋体" w:cs="宋体"/>
          <w:color w:val="auto"/>
          <w:sz w:val="32"/>
          <w:szCs w:val="32"/>
          <w:highlight w:val="none"/>
          <w:lang w:val="en-US" w:eastAsia="zh-CN"/>
        </w:rPr>
        <w:t>询价公告</w:t>
      </w:r>
    </w:p>
    <w:p w14:paraId="2F150E03">
      <w:pPr>
        <w:spacing w:line="360" w:lineRule="auto"/>
        <w:ind w:firstLine="420" w:firstLineChars="0"/>
        <w:outlineLvl w:val="1"/>
        <w:rPr>
          <w:rFonts w:hint="eastAsia" w:ascii="宋体" w:hAnsi="宋体" w:eastAsia="宋体" w:cs="宋体"/>
          <w:color w:val="auto"/>
          <w:sz w:val="28"/>
          <w:szCs w:val="28"/>
          <w:highlight w:val="none"/>
        </w:rPr>
      </w:pPr>
      <w:bookmarkStart w:id="19" w:name="_Toc9732"/>
      <w:bookmarkStart w:id="20" w:name="_Toc17478"/>
      <w:r>
        <w:rPr>
          <w:rFonts w:hint="eastAsia" w:ascii="宋体" w:hAnsi="宋体" w:eastAsia="宋体" w:cs="宋体"/>
          <w:color w:val="auto"/>
          <w:sz w:val="28"/>
          <w:szCs w:val="28"/>
          <w:highlight w:val="none"/>
        </w:rPr>
        <w:t>1.询价条件</w:t>
      </w:r>
      <w:bookmarkEnd w:id="8"/>
      <w:bookmarkEnd w:id="9"/>
      <w:bookmarkEnd w:id="10"/>
      <w:bookmarkEnd w:id="11"/>
      <w:bookmarkEnd w:id="12"/>
      <w:bookmarkEnd w:id="13"/>
      <w:bookmarkEnd w:id="14"/>
      <w:bookmarkEnd w:id="15"/>
      <w:bookmarkEnd w:id="16"/>
      <w:bookmarkEnd w:id="17"/>
      <w:bookmarkEnd w:id="18"/>
      <w:bookmarkEnd w:id="19"/>
      <w:bookmarkEnd w:id="20"/>
    </w:p>
    <w:p w14:paraId="5CEAE6FA">
      <w:pPr>
        <w:keepNext w:val="0"/>
        <w:keepLines w:val="0"/>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1"/>
          <w:szCs w:val="21"/>
          <w:highlight w:val="none"/>
        </w:rPr>
      </w:pPr>
      <w:r>
        <w:rPr>
          <w:rFonts w:hint="eastAsia" w:ascii="宋体" w:hAnsi="宋体" w:cs="宋体"/>
          <w:i w:val="0"/>
          <w:iCs w:val="0"/>
          <w:color w:val="auto"/>
          <w:sz w:val="24"/>
          <w:szCs w:val="24"/>
          <w:highlight w:val="none"/>
          <w:u w:val="single"/>
          <w:lang w:eastAsia="zh-CN"/>
        </w:rPr>
        <w:t>昆明鑫安道路设施维护有限公司清算报告服务项目（四次）</w:t>
      </w:r>
      <w:r>
        <w:rPr>
          <w:rFonts w:hint="eastAsia" w:cs="宋体"/>
          <w:i w:val="0"/>
          <w:iCs w:val="0"/>
          <w:color w:val="auto"/>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rPr>
        <w:t>采购项目的供应商应在</w:t>
      </w:r>
      <w:r>
        <w:rPr>
          <w:rFonts w:hint="eastAsia" w:ascii="宋体" w:hAnsi="宋体"/>
          <w:color w:val="auto"/>
          <w:sz w:val="24"/>
          <w:highlight w:val="none"/>
          <w:u w:val="single"/>
        </w:rPr>
        <w:t>云南省昆明市官渡区春城路62号证券大厦附楼7楼</w:t>
      </w:r>
      <w:r>
        <w:rPr>
          <w:rFonts w:hint="eastAsia" w:ascii="宋体" w:hAnsi="宋体"/>
          <w:color w:val="auto"/>
          <w:sz w:val="24"/>
          <w:highlight w:val="none"/>
          <w:u w:val="single"/>
          <w:lang w:val="en-US" w:eastAsia="zh-CN"/>
        </w:rPr>
        <w:t>777室</w:t>
      </w:r>
      <w:r>
        <w:rPr>
          <w:rFonts w:hint="eastAsia" w:cs="宋体"/>
          <w:i w:val="0"/>
          <w:iCs w:val="0"/>
          <w:color w:val="auto"/>
          <w:sz w:val="24"/>
          <w:szCs w:val="24"/>
          <w:highlight w:val="none"/>
          <w:u w:val="none"/>
          <w:lang w:val="en-US" w:eastAsia="zh-CN"/>
        </w:rPr>
        <w:t>获取</w:t>
      </w:r>
      <w:r>
        <w:rPr>
          <w:rFonts w:hint="eastAsia" w:ascii="宋体" w:hAnsi="宋体" w:cs="宋体"/>
          <w:i w:val="0"/>
          <w:iCs w:val="0"/>
          <w:color w:val="auto"/>
          <w:sz w:val="24"/>
          <w:szCs w:val="24"/>
          <w:highlight w:val="none"/>
          <w:lang w:val="en-US" w:eastAsia="zh-CN"/>
        </w:rPr>
        <w:t>询价</w:t>
      </w:r>
      <w:r>
        <w:rPr>
          <w:rFonts w:hint="eastAsia" w:ascii="宋体" w:hAnsi="宋体" w:eastAsia="宋体" w:cs="宋体"/>
          <w:i w:val="0"/>
          <w:iCs w:val="0"/>
          <w:color w:val="auto"/>
          <w:sz w:val="24"/>
          <w:szCs w:val="24"/>
          <w:highlight w:val="none"/>
        </w:rPr>
        <w:t>文件，并于</w:t>
      </w:r>
      <w:r>
        <w:rPr>
          <w:rFonts w:hint="eastAsia" w:cs="宋体"/>
          <w:i w:val="0"/>
          <w:iCs w:val="0"/>
          <w:color w:val="auto"/>
          <w:sz w:val="24"/>
          <w:szCs w:val="24"/>
          <w:highlight w:val="none"/>
          <w:u w:val="single"/>
          <w:lang w:val="en-US" w:eastAsia="zh-CN"/>
        </w:rPr>
        <w:t>2025</w:t>
      </w:r>
      <w:r>
        <w:rPr>
          <w:rFonts w:hint="eastAsia" w:ascii="宋体" w:hAnsi="宋体" w:eastAsia="宋体" w:cs="宋体"/>
          <w:bCs/>
          <w:i w:val="0"/>
          <w:iCs w:val="0"/>
          <w:color w:val="auto"/>
          <w:sz w:val="24"/>
          <w:szCs w:val="24"/>
          <w:highlight w:val="none"/>
          <w:u w:val="single"/>
        </w:rPr>
        <w:t>年</w:t>
      </w:r>
      <w:r>
        <w:rPr>
          <w:rFonts w:hint="eastAsia" w:cs="宋体"/>
          <w:bCs/>
          <w:i w:val="0"/>
          <w:iCs w:val="0"/>
          <w:color w:val="auto"/>
          <w:sz w:val="24"/>
          <w:szCs w:val="24"/>
          <w:highlight w:val="none"/>
          <w:u w:val="single"/>
          <w:lang w:val="en-US" w:eastAsia="zh-CN"/>
        </w:rPr>
        <w:t>9</w:t>
      </w:r>
      <w:r>
        <w:rPr>
          <w:rFonts w:hint="eastAsia" w:ascii="宋体" w:hAnsi="宋体" w:eastAsia="宋体" w:cs="宋体"/>
          <w:bCs/>
          <w:i w:val="0"/>
          <w:iCs w:val="0"/>
          <w:color w:val="auto"/>
          <w:sz w:val="24"/>
          <w:szCs w:val="24"/>
          <w:highlight w:val="none"/>
          <w:u w:val="single"/>
        </w:rPr>
        <w:t>月</w:t>
      </w:r>
      <w:r>
        <w:rPr>
          <w:rFonts w:hint="eastAsia" w:cs="宋体"/>
          <w:bCs/>
          <w:i w:val="0"/>
          <w:iCs w:val="0"/>
          <w:color w:val="auto"/>
          <w:sz w:val="24"/>
          <w:szCs w:val="24"/>
          <w:highlight w:val="none"/>
          <w:u w:val="single"/>
          <w:lang w:val="en-US" w:eastAsia="zh-CN"/>
        </w:rPr>
        <w:t>22</w:t>
      </w:r>
      <w:r>
        <w:rPr>
          <w:rFonts w:hint="eastAsia" w:ascii="宋体" w:hAnsi="宋体" w:eastAsia="宋体" w:cs="宋体"/>
          <w:bCs/>
          <w:i w:val="0"/>
          <w:iCs w:val="0"/>
          <w:color w:val="auto"/>
          <w:sz w:val="24"/>
          <w:szCs w:val="24"/>
          <w:highlight w:val="none"/>
          <w:u w:val="single"/>
        </w:rPr>
        <w:t>日</w:t>
      </w:r>
      <w:r>
        <w:rPr>
          <w:rFonts w:hint="eastAsia" w:cs="宋体"/>
          <w:bCs/>
          <w:i w:val="0"/>
          <w:iCs w:val="0"/>
          <w:color w:val="auto"/>
          <w:sz w:val="24"/>
          <w:szCs w:val="24"/>
          <w:highlight w:val="none"/>
          <w:u w:val="single"/>
          <w:lang w:val="en-US" w:eastAsia="zh-CN"/>
        </w:rPr>
        <w:t>14</w:t>
      </w:r>
      <w:r>
        <w:rPr>
          <w:rFonts w:hint="eastAsia" w:ascii="宋体" w:hAnsi="宋体" w:eastAsia="宋体" w:cs="宋体"/>
          <w:bCs/>
          <w:i w:val="0"/>
          <w:iCs w:val="0"/>
          <w:color w:val="auto"/>
          <w:sz w:val="24"/>
          <w:szCs w:val="24"/>
          <w:highlight w:val="none"/>
          <w:u w:val="single"/>
        </w:rPr>
        <w:t>点</w:t>
      </w:r>
      <w:r>
        <w:rPr>
          <w:rFonts w:hint="eastAsia" w:cs="宋体"/>
          <w:bCs/>
          <w:i w:val="0"/>
          <w:iCs w:val="0"/>
          <w:color w:val="auto"/>
          <w:sz w:val="24"/>
          <w:szCs w:val="24"/>
          <w:highlight w:val="none"/>
          <w:u w:val="single"/>
          <w:lang w:val="en-US" w:eastAsia="zh-CN"/>
        </w:rPr>
        <w:t>00</w:t>
      </w:r>
      <w:r>
        <w:rPr>
          <w:rFonts w:hint="eastAsia" w:ascii="宋体" w:hAnsi="宋体" w:eastAsia="宋体" w:cs="宋体"/>
          <w:bCs/>
          <w:i w:val="0"/>
          <w:iCs w:val="0"/>
          <w:color w:val="auto"/>
          <w:sz w:val="24"/>
          <w:szCs w:val="24"/>
          <w:highlight w:val="none"/>
          <w:u w:val="single"/>
        </w:rPr>
        <w:t>分</w:t>
      </w:r>
      <w:r>
        <w:rPr>
          <w:rFonts w:hint="eastAsia" w:ascii="宋体" w:hAnsi="宋体" w:eastAsia="宋体" w:cs="宋体"/>
          <w:bCs/>
          <w:i w:val="0"/>
          <w:iCs w:val="0"/>
          <w:color w:val="auto"/>
          <w:sz w:val="24"/>
          <w:szCs w:val="24"/>
          <w:highlight w:val="none"/>
        </w:rPr>
        <w:t>（北京时间）前提交响应文件</w:t>
      </w:r>
      <w:r>
        <w:rPr>
          <w:rFonts w:hint="eastAsia" w:ascii="宋体" w:hAnsi="宋体" w:eastAsia="宋体" w:cs="宋体"/>
          <w:i w:val="0"/>
          <w:iCs w:val="0"/>
          <w:color w:val="auto"/>
          <w:sz w:val="24"/>
          <w:szCs w:val="24"/>
          <w:highlight w:val="none"/>
        </w:rPr>
        <w:t>。</w:t>
      </w:r>
    </w:p>
    <w:p w14:paraId="20854FCE">
      <w:pPr>
        <w:spacing w:line="360" w:lineRule="auto"/>
        <w:ind w:firstLine="420" w:firstLineChars="0"/>
        <w:outlineLvl w:val="1"/>
        <w:rPr>
          <w:rFonts w:hint="eastAsia" w:ascii="宋体" w:hAnsi="宋体" w:eastAsia="宋体" w:cs="宋体"/>
          <w:color w:val="auto"/>
          <w:sz w:val="28"/>
          <w:szCs w:val="28"/>
          <w:highlight w:val="none"/>
        </w:rPr>
      </w:pPr>
      <w:bookmarkStart w:id="21" w:name="_Toc10542"/>
      <w:bookmarkStart w:id="22" w:name="_Toc246996167"/>
      <w:bookmarkStart w:id="23" w:name="_Toc432792962"/>
      <w:bookmarkStart w:id="24" w:name="_Toc247085681"/>
      <w:bookmarkStart w:id="25" w:name="_Toc246996910"/>
      <w:bookmarkStart w:id="26" w:name="_Toc296602411"/>
      <w:bookmarkStart w:id="27" w:name="_Toc152045520"/>
      <w:bookmarkStart w:id="28" w:name="_Toc179632537"/>
      <w:bookmarkStart w:id="29" w:name="_Toc3291"/>
      <w:bookmarkStart w:id="30" w:name="_Toc152042296"/>
      <w:bookmarkStart w:id="31" w:name="_Toc6089"/>
      <w:bookmarkStart w:id="32" w:name="_Toc144974488"/>
      <w:bookmarkStart w:id="33" w:name="_Toc9802"/>
      <w:r>
        <w:rPr>
          <w:rFonts w:hint="eastAsia" w:ascii="宋体" w:hAnsi="宋体" w:eastAsia="宋体" w:cs="宋体"/>
          <w:color w:val="auto"/>
          <w:sz w:val="28"/>
          <w:szCs w:val="28"/>
          <w:highlight w:val="none"/>
        </w:rPr>
        <w:t>2.项目概况与询价范围</w:t>
      </w:r>
      <w:bookmarkEnd w:id="21"/>
      <w:bookmarkEnd w:id="22"/>
      <w:bookmarkEnd w:id="23"/>
      <w:bookmarkEnd w:id="24"/>
      <w:bookmarkEnd w:id="25"/>
      <w:bookmarkEnd w:id="26"/>
      <w:bookmarkEnd w:id="27"/>
      <w:bookmarkEnd w:id="28"/>
      <w:bookmarkEnd w:id="29"/>
      <w:bookmarkEnd w:id="30"/>
      <w:bookmarkEnd w:id="31"/>
      <w:bookmarkEnd w:id="32"/>
      <w:bookmarkEnd w:id="33"/>
    </w:p>
    <w:p w14:paraId="001779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2.1项目概况：</w:t>
      </w:r>
      <w:r>
        <w:rPr>
          <w:rFonts w:hint="eastAsia" w:ascii="宋体" w:hAnsi="宋体" w:cs="宋体"/>
          <w:color w:val="auto"/>
          <w:sz w:val="24"/>
          <w:szCs w:val="24"/>
          <w:highlight w:val="none"/>
          <w:lang w:eastAsia="zh-CN"/>
        </w:rPr>
        <w:t>昆明鑫安道路设施维护有限公司清算报告服务项目（四次），经过严谨的市场调研与综合评估，</w:t>
      </w:r>
      <w:r>
        <w:rPr>
          <w:rFonts w:hint="eastAsia" w:ascii="宋体" w:hAnsi="宋体" w:cs="宋体"/>
          <w:color w:val="auto"/>
          <w:sz w:val="24"/>
          <w:szCs w:val="24"/>
          <w:highlight w:val="none"/>
          <w:lang w:val="en-US" w:eastAsia="zh-CN"/>
        </w:rPr>
        <w:t>采用询价方式选择本次</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w:t>
      </w:r>
    </w:p>
    <w:p w14:paraId="2895F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2.2采购范围：完成昆明鑫安道路设施维护有限公司清算工作，并出具清算报告。</w:t>
      </w:r>
    </w:p>
    <w:p w14:paraId="4A18349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2.3项目地点：</w:t>
      </w:r>
      <w:r>
        <w:rPr>
          <w:rFonts w:hint="eastAsia" w:ascii="宋体" w:hAnsi="宋体" w:cs="宋体"/>
          <w:color w:val="auto"/>
          <w:sz w:val="24"/>
          <w:szCs w:val="24"/>
          <w:highlight w:val="none"/>
          <w:lang w:val="en-US" w:eastAsia="zh-CN"/>
        </w:rPr>
        <w:t>昆明安保（集团）有限责任公司</w:t>
      </w:r>
      <w:r>
        <w:rPr>
          <w:rFonts w:hint="eastAsia" w:ascii="宋体" w:hAnsi="宋体" w:eastAsia="宋体" w:cs="宋体"/>
          <w:color w:val="auto"/>
          <w:sz w:val="24"/>
          <w:szCs w:val="24"/>
          <w:highlight w:val="none"/>
          <w:lang w:eastAsia="zh-CN"/>
        </w:rPr>
        <w:t>。</w:t>
      </w:r>
    </w:p>
    <w:p w14:paraId="2967D3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2.4最高投标限价：人民币：4000元（大写：肆仟元整）。</w:t>
      </w:r>
    </w:p>
    <w:p w14:paraId="0CA7913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2.5资金来源及落实情况：</w:t>
      </w:r>
      <w:r>
        <w:rPr>
          <w:rFonts w:hint="eastAsia" w:ascii="宋体" w:hAnsi="宋体" w:cs="宋体"/>
          <w:color w:val="auto"/>
          <w:sz w:val="24"/>
          <w:szCs w:val="24"/>
          <w:highlight w:val="none"/>
          <w:lang w:val="en-US" w:eastAsia="zh-CN"/>
        </w:rPr>
        <w:t>企业自筹</w:t>
      </w:r>
      <w:r>
        <w:rPr>
          <w:rFonts w:hint="eastAsia" w:ascii="宋体" w:hAnsi="宋体" w:eastAsia="宋体" w:cs="宋体"/>
          <w:color w:val="auto"/>
          <w:sz w:val="24"/>
          <w:szCs w:val="24"/>
          <w:highlight w:val="none"/>
        </w:rPr>
        <w:t>，已落实。</w:t>
      </w:r>
    </w:p>
    <w:p w14:paraId="2B6E041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w:t>
      </w:r>
      <w:r>
        <w:rPr>
          <w:rFonts w:hint="eastAsia" w:ascii="宋体" w:hAnsi="宋体" w:cs="宋体"/>
          <w:color w:val="auto"/>
          <w:sz w:val="24"/>
          <w:szCs w:val="24"/>
          <w:highlight w:val="none"/>
          <w:lang w:eastAsia="zh-CN"/>
        </w:rPr>
        <w:t>服务周期</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自合同签订之日起至</w:t>
      </w:r>
      <w:r>
        <w:rPr>
          <w:rFonts w:hint="eastAsia" w:ascii="宋体" w:hAnsi="宋体" w:cs="宋体"/>
          <w:color w:val="auto"/>
          <w:sz w:val="24"/>
          <w:szCs w:val="24"/>
          <w:highlight w:val="none"/>
          <w:lang w:val="en-US" w:eastAsia="zh-CN"/>
        </w:rPr>
        <w:t>服务工作结束</w:t>
      </w:r>
      <w:r>
        <w:rPr>
          <w:rFonts w:hint="eastAsia" w:ascii="宋体" w:hAnsi="宋体" w:eastAsia="宋体" w:cs="宋体"/>
          <w:color w:val="auto"/>
          <w:sz w:val="24"/>
          <w:szCs w:val="24"/>
          <w:highlight w:val="none"/>
          <w:lang w:eastAsia="zh-CN"/>
        </w:rPr>
        <w:t>。</w:t>
      </w:r>
    </w:p>
    <w:p w14:paraId="7EDADD5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r>
        <w:rPr>
          <w:rFonts w:hint="eastAsia" w:ascii="宋体" w:hAnsi="宋体" w:cs="宋体"/>
          <w:color w:val="auto"/>
          <w:sz w:val="24"/>
          <w:szCs w:val="24"/>
          <w:highlight w:val="none"/>
          <w:lang w:eastAsia="zh-CN"/>
        </w:rPr>
        <w:t>项目质量要求</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符合现行国家、地方技术标准、规范，满足采购人的相关要求，保证</w:t>
      </w:r>
      <w:r>
        <w:rPr>
          <w:rFonts w:hint="eastAsia" w:ascii="宋体" w:hAnsi="宋体" w:cs="宋体"/>
          <w:color w:val="auto"/>
          <w:sz w:val="24"/>
          <w:szCs w:val="24"/>
          <w:highlight w:val="none"/>
          <w:lang w:val="en-US" w:eastAsia="zh-CN"/>
        </w:rPr>
        <w:t>服务要求及服务质量</w:t>
      </w:r>
      <w:r>
        <w:rPr>
          <w:rFonts w:hint="eastAsia" w:ascii="宋体" w:hAnsi="宋体" w:eastAsia="宋体" w:cs="宋体"/>
          <w:color w:val="auto"/>
          <w:sz w:val="24"/>
          <w:szCs w:val="24"/>
          <w:highlight w:val="none"/>
        </w:rPr>
        <w:t>。</w:t>
      </w:r>
    </w:p>
    <w:p w14:paraId="6B35779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8询价</w:t>
      </w:r>
      <w:r>
        <w:rPr>
          <w:rFonts w:hint="eastAsia" w:ascii="宋体" w:hAnsi="宋体" w:eastAsia="宋体" w:cs="宋体"/>
          <w:color w:val="auto"/>
          <w:sz w:val="24"/>
          <w:highlight w:val="none"/>
        </w:rPr>
        <w:t>原则：询价小组应当从质量和服务均能满足采购文件实质性响应要求的供应商中，按照</w:t>
      </w:r>
      <w:r>
        <w:rPr>
          <w:rFonts w:hint="eastAsia" w:ascii="宋体" w:hAnsi="宋体" w:cs="宋体"/>
          <w:color w:val="auto"/>
          <w:sz w:val="24"/>
          <w:highlight w:val="none"/>
          <w:lang w:val="en-US" w:eastAsia="zh-CN"/>
        </w:rPr>
        <w:t>服务</w:t>
      </w:r>
      <w:r>
        <w:rPr>
          <w:rFonts w:hint="eastAsia" w:ascii="宋体" w:hAnsi="宋体" w:eastAsia="宋体" w:cs="宋体"/>
          <w:b/>
          <w:bCs/>
          <w:color w:val="auto"/>
          <w:sz w:val="24"/>
          <w:highlight w:val="none"/>
        </w:rPr>
        <w:t>报价</w:t>
      </w:r>
      <w:r>
        <w:rPr>
          <w:rFonts w:hint="eastAsia" w:ascii="宋体" w:hAnsi="宋体" w:eastAsia="宋体" w:cs="宋体"/>
          <w:color w:val="auto"/>
          <w:sz w:val="24"/>
          <w:highlight w:val="none"/>
        </w:rPr>
        <w:t>由低到高的顺序</w:t>
      </w:r>
      <w:r>
        <w:rPr>
          <w:rFonts w:hint="eastAsia" w:ascii="宋体" w:hAnsi="宋体" w:eastAsia="宋体" w:cs="宋体"/>
          <w:color w:val="auto"/>
          <w:sz w:val="24"/>
          <w:highlight w:val="none"/>
          <w:lang w:val="en-US" w:eastAsia="zh-CN"/>
        </w:rPr>
        <w:t>确认</w:t>
      </w:r>
      <w:r>
        <w:rPr>
          <w:rFonts w:hint="eastAsia" w:ascii="宋体" w:hAnsi="宋体" w:eastAsia="宋体" w:cs="宋体"/>
          <w:color w:val="auto"/>
          <w:sz w:val="24"/>
          <w:highlight w:val="none"/>
        </w:rPr>
        <w:t>3名成交候选人。</w:t>
      </w:r>
    </w:p>
    <w:p w14:paraId="316C6B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确认中选本项目的</w:t>
      </w:r>
      <w:r>
        <w:rPr>
          <w:rFonts w:hint="eastAsia" w:ascii="宋体" w:hAnsi="宋体" w:eastAsia="宋体" w:cs="宋体"/>
          <w:color w:val="auto"/>
          <w:sz w:val="24"/>
          <w:highlight w:val="none"/>
          <w:lang w:val="en-US" w:eastAsia="zh-CN"/>
        </w:rPr>
        <w:t>申请</w:t>
      </w:r>
      <w:r>
        <w:rPr>
          <w:rFonts w:hint="eastAsia" w:ascii="宋体" w:hAnsi="宋体" w:eastAsia="宋体" w:cs="宋体"/>
          <w:color w:val="auto"/>
          <w:sz w:val="24"/>
          <w:highlight w:val="none"/>
          <w:lang w:eastAsia="zh-CN"/>
        </w:rPr>
        <w:t>人</w:t>
      </w:r>
      <w:r>
        <w:rPr>
          <w:rFonts w:hint="eastAsia" w:ascii="宋体" w:hAnsi="宋体" w:eastAsia="宋体" w:cs="宋体"/>
          <w:color w:val="auto"/>
          <w:sz w:val="24"/>
          <w:highlight w:val="none"/>
        </w:rPr>
        <w:t>需以中选的报价与采购人签订合同</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若中选单位不接受此要求</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则取消其中选资格，由其他候选人依次替补</w:t>
      </w:r>
      <w:r>
        <w:rPr>
          <w:rFonts w:hint="eastAsia" w:ascii="宋体" w:hAnsi="宋体" w:eastAsia="宋体" w:cs="宋体"/>
          <w:color w:val="auto"/>
          <w:sz w:val="24"/>
          <w:highlight w:val="none"/>
          <w:lang w:val="en-US" w:eastAsia="zh-CN"/>
        </w:rPr>
        <w:t>或重新开展采购活动</w:t>
      </w:r>
      <w:r>
        <w:rPr>
          <w:rFonts w:hint="eastAsia" w:ascii="宋体" w:hAnsi="宋体" w:eastAsia="宋体" w:cs="宋体"/>
          <w:color w:val="auto"/>
          <w:sz w:val="24"/>
          <w:highlight w:val="none"/>
        </w:rPr>
        <w:t>。</w:t>
      </w:r>
    </w:p>
    <w:p w14:paraId="65951D07">
      <w:pPr>
        <w:keepNext w:val="0"/>
        <w:keepLines w:val="0"/>
        <w:pageBreakBefore w:val="0"/>
        <w:kinsoku/>
        <w:wordWrap/>
        <w:overflowPunct/>
        <w:topLinePunct w:val="0"/>
        <w:autoSpaceDE/>
        <w:autoSpaceDN/>
        <w:bidi w:val="0"/>
        <w:adjustRightInd/>
        <w:snapToGrid/>
        <w:spacing w:line="360" w:lineRule="auto"/>
        <w:ind w:firstLine="560" w:firstLineChars="200"/>
        <w:textAlignment w:val="auto"/>
        <w:outlineLvl w:val="1"/>
        <w:rPr>
          <w:rFonts w:hint="eastAsia" w:ascii="宋体" w:hAnsi="宋体" w:eastAsia="宋体" w:cs="宋体"/>
          <w:color w:val="auto"/>
          <w:sz w:val="28"/>
          <w:szCs w:val="28"/>
          <w:highlight w:val="none"/>
        </w:rPr>
      </w:pPr>
      <w:bookmarkStart w:id="34" w:name="_Toc13738"/>
      <w:bookmarkStart w:id="35" w:name="_Toc432792963"/>
      <w:bookmarkStart w:id="36" w:name="_Toc22969"/>
      <w:bookmarkStart w:id="37" w:name="_Toc9641"/>
      <w:bookmarkStart w:id="38" w:name="_Toc14239"/>
      <w:r>
        <w:rPr>
          <w:rFonts w:hint="eastAsia" w:ascii="宋体" w:hAnsi="宋体" w:eastAsia="宋体" w:cs="宋体"/>
          <w:color w:val="auto"/>
          <w:sz w:val="28"/>
          <w:szCs w:val="28"/>
          <w:highlight w:val="none"/>
        </w:rPr>
        <w:t>3.申请人资格</w:t>
      </w:r>
      <w:bookmarkEnd w:id="34"/>
      <w:bookmarkEnd w:id="35"/>
      <w:r>
        <w:rPr>
          <w:rFonts w:hint="eastAsia" w:ascii="宋体" w:hAnsi="宋体" w:eastAsia="宋体" w:cs="宋体"/>
          <w:color w:val="auto"/>
          <w:sz w:val="28"/>
          <w:szCs w:val="28"/>
          <w:highlight w:val="none"/>
        </w:rPr>
        <w:t>条件</w:t>
      </w:r>
      <w:bookmarkEnd w:id="36"/>
      <w:bookmarkEnd w:id="37"/>
      <w:bookmarkEnd w:id="38"/>
    </w:p>
    <w:p w14:paraId="233F526D">
      <w:pPr>
        <w:pStyle w:val="43"/>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bookmarkStart w:id="39" w:name="_Toc339890044"/>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1供应商为法人、其他组织或者自然人；提供有效的营业执照或事业单位法人证书或民办非企业登记证书或社会团体登记证或自然人身份证明；</w:t>
      </w:r>
    </w:p>
    <w:p w14:paraId="51B80ECC">
      <w:pPr>
        <w:pStyle w:val="43"/>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3.2本项目接受分支机构投标且分支机构须具备有效的营业执照或其它法定证照；同一公司，仅能授权一家分支机构参加投标；分公司参与本项目投标的，须提供总公司针对本项目投标的授权书。</w:t>
      </w:r>
    </w:p>
    <w:p w14:paraId="29B713AB">
      <w:pPr>
        <w:pStyle w:val="43"/>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3.3</w:t>
      </w:r>
      <w:r>
        <w:rPr>
          <w:rFonts w:hint="eastAsia" w:ascii="宋体" w:hAnsi="宋体" w:eastAsia="宋体" w:cs="宋体"/>
          <w:color w:val="auto"/>
          <w:sz w:val="24"/>
          <w:szCs w:val="24"/>
          <w:highlight w:val="none"/>
        </w:rPr>
        <w:t>须具有开展相关审计工作所需的执业证书。</w:t>
      </w:r>
    </w:p>
    <w:p w14:paraId="50A569A4">
      <w:pPr>
        <w:pStyle w:val="43"/>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3.4</w:t>
      </w:r>
      <w:r>
        <w:rPr>
          <w:rFonts w:hint="eastAsia" w:ascii="宋体" w:hAnsi="宋体" w:eastAsia="宋体" w:cs="宋体"/>
          <w:color w:val="auto"/>
          <w:sz w:val="24"/>
          <w:szCs w:val="24"/>
          <w:highlight w:val="none"/>
        </w:rPr>
        <w:t>财务要求：提供2022至2024年中任意一年的经审计的财务报告或近三个月内基本开户银行出具的资信证明（成立时间不足一年的，可提供近三个月内基本开户银行出具的资信证明或自成立至今经第三方审计的财务报告）。</w:t>
      </w:r>
    </w:p>
    <w:p w14:paraId="0DD9129A">
      <w:pPr>
        <w:pStyle w:val="43"/>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3.5</w:t>
      </w:r>
      <w:r>
        <w:rPr>
          <w:rFonts w:hint="eastAsia" w:ascii="宋体" w:hAnsi="宋体" w:eastAsia="宋体" w:cs="宋体"/>
          <w:color w:val="auto"/>
          <w:sz w:val="24"/>
          <w:szCs w:val="24"/>
          <w:highlight w:val="none"/>
        </w:rPr>
        <w:t>供应商应在“信用中国”网站（www.creditchina.gov.cn）未被列入失信被执行人记录、重大税收违法失信主体且在中国政府采购网(www.ccgp.gov.cn)没有政府采购严重违法失信行为记录。</w:t>
      </w:r>
    </w:p>
    <w:p w14:paraId="7B18672B">
      <w:pPr>
        <w:pStyle w:val="43"/>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3.6</w:t>
      </w:r>
      <w:r>
        <w:rPr>
          <w:rFonts w:hint="eastAsia" w:ascii="宋体" w:hAnsi="宋体" w:eastAsia="宋体" w:cs="宋体"/>
          <w:color w:val="auto"/>
          <w:sz w:val="24"/>
          <w:szCs w:val="24"/>
          <w:highlight w:val="none"/>
          <w:lang w:val="en-US" w:eastAsia="zh-CN"/>
        </w:rPr>
        <w:t>企业业绩：近三年内（2022年至今）最少须具有2个类似项目业绩。（类似项目业绩以中标通知书或合同协议书为准。）并加盖供应商公章</w:t>
      </w:r>
      <w:r>
        <w:rPr>
          <w:rFonts w:hint="eastAsia" w:ascii="宋体" w:hAnsi="宋体" w:eastAsia="宋体" w:cs="宋体"/>
          <w:color w:val="auto"/>
          <w:sz w:val="24"/>
          <w:szCs w:val="24"/>
          <w:highlight w:val="none"/>
        </w:rPr>
        <w:t>。</w:t>
      </w:r>
    </w:p>
    <w:p w14:paraId="427FEB4F">
      <w:pPr>
        <w:pStyle w:val="43"/>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3.7供应商自2022年1月1日至今未被依法暂停或者取消投标资格；未被责令停产停业、暂扣或者吊销许可证、暂扣或者吊销执照；未进入清算程序或被宣告破产或其他丧失履约能力的情形。(由供应商以承诺书的方式进行承诺)</w:t>
      </w:r>
      <w:r>
        <w:rPr>
          <w:rFonts w:hint="eastAsia" w:ascii="宋体" w:hAnsi="宋体" w:eastAsia="宋体" w:cs="宋体"/>
          <w:color w:val="auto"/>
          <w:sz w:val="24"/>
          <w:szCs w:val="24"/>
          <w:highlight w:val="none"/>
        </w:rPr>
        <w:t>。</w:t>
      </w:r>
    </w:p>
    <w:p w14:paraId="59921249">
      <w:pPr>
        <w:pStyle w:val="43"/>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3.8供应商应当具有良好的商业与社会信誉，未被列入“信用中国”网站（www.creditchina.gov.cn）的“失信被执行人”及“重大税收违法失信主体”名单。（由招标代理机构在评标前查询并留存）</w:t>
      </w:r>
      <w:r>
        <w:rPr>
          <w:rFonts w:hint="eastAsia" w:ascii="宋体" w:hAnsi="宋体" w:eastAsia="宋体" w:cs="宋体"/>
          <w:color w:val="auto"/>
          <w:sz w:val="24"/>
          <w:szCs w:val="24"/>
          <w:highlight w:val="none"/>
        </w:rPr>
        <w:t>。</w:t>
      </w:r>
    </w:p>
    <w:p w14:paraId="6DBEBD7C">
      <w:pPr>
        <w:pStyle w:val="43"/>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3.9</w:t>
      </w:r>
      <w:r>
        <w:rPr>
          <w:rFonts w:hint="eastAsia" w:ascii="宋体" w:hAnsi="宋体" w:eastAsia="宋体" w:cs="宋体"/>
          <w:color w:val="auto"/>
          <w:sz w:val="24"/>
          <w:szCs w:val="24"/>
          <w:highlight w:val="none"/>
        </w:rPr>
        <w:t>本项目不接受联合体投标；</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AUTOTEXT  input425 \* MERGEFORMAT </w:instrText>
      </w:r>
      <w:r>
        <w:rPr>
          <w:rFonts w:hint="eastAsia" w:ascii="宋体" w:hAnsi="宋体" w:eastAsia="宋体" w:cs="宋体"/>
          <w:color w:val="auto"/>
          <w:sz w:val="24"/>
          <w:szCs w:val="24"/>
          <w:highlight w:val="none"/>
        </w:rPr>
        <w:fldChar w:fldCharType="end"/>
      </w:r>
    </w:p>
    <w:p w14:paraId="25EC6D4A">
      <w:pPr>
        <w:spacing w:line="360" w:lineRule="auto"/>
        <w:ind w:firstLine="420" w:firstLineChars="0"/>
        <w:outlineLvl w:val="1"/>
        <w:rPr>
          <w:rFonts w:hint="eastAsia" w:ascii="宋体" w:hAnsi="宋体" w:eastAsia="宋体" w:cs="宋体"/>
          <w:color w:val="auto"/>
          <w:sz w:val="24"/>
          <w:szCs w:val="24"/>
          <w:highlight w:val="none"/>
        </w:rPr>
      </w:pPr>
      <w:bookmarkStart w:id="40" w:name="_Toc5691"/>
      <w:bookmarkStart w:id="41" w:name="_Toc20219"/>
      <w:bookmarkStart w:id="42" w:name="_Toc12650"/>
      <w:bookmarkStart w:id="43" w:name="_Toc29872"/>
      <w:r>
        <w:rPr>
          <w:rFonts w:hint="eastAsia" w:ascii="宋体" w:hAnsi="宋体" w:eastAsia="宋体" w:cs="宋体"/>
          <w:color w:val="auto"/>
          <w:sz w:val="28"/>
          <w:szCs w:val="28"/>
          <w:highlight w:val="none"/>
        </w:rPr>
        <w:t>4.资格审查方式：</w:t>
      </w:r>
      <w:r>
        <w:rPr>
          <w:rFonts w:hint="eastAsia" w:ascii="宋体" w:hAnsi="宋体" w:eastAsia="宋体" w:cs="宋体"/>
          <w:color w:val="auto"/>
          <w:kern w:val="2"/>
          <w:sz w:val="24"/>
          <w:szCs w:val="24"/>
          <w:highlight w:val="none"/>
        </w:rPr>
        <w:t>资格后审。</w:t>
      </w:r>
      <w:bookmarkEnd w:id="39"/>
      <w:bookmarkEnd w:id="40"/>
      <w:bookmarkEnd w:id="41"/>
      <w:bookmarkEnd w:id="42"/>
      <w:bookmarkEnd w:id="43"/>
    </w:p>
    <w:p w14:paraId="7773ED7A">
      <w:pPr>
        <w:spacing w:line="360" w:lineRule="auto"/>
        <w:ind w:firstLine="420" w:firstLineChars="0"/>
        <w:outlineLvl w:val="1"/>
        <w:rPr>
          <w:rFonts w:hint="eastAsia" w:ascii="宋体" w:hAnsi="宋体" w:eastAsia="宋体" w:cs="宋体"/>
          <w:color w:val="auto"/>
          <w:sz w:val="28"/>
          <w:szCs w:val="28"/>
          <w:highlight w:val="none"/>
        </w:rPr>
      </w:pPr>
      <w:bookmarkStart w:id="44" w:name="_Toc14985"/>
      <w:bookmarkStart w:id="45" w:name="_Toc7079"/>
      <w:bookmarkStart w:id="46" w:name="_Toc24233"/>
      <w:bookmarkStart w:id="47" w:name="_Toc19914"/>
      <w:bookmarkStart w:id="48" w:name="_Toc432792964"/>
      <w:r>
        <w:rPr>
          <w:rFonts w:hint="eastAsia" w:ascii="宋体" w:hAnsi="宋体" w:eastAsia="宋体" w:cs="宋体"/>
          <w:color w:val="auto"/>
          <w:sz w:val="28"/>
          <w:szCs w:val="28"/>
          <w:highlight w:val="none"/>
        </w:rPr>
        <w:t>5.询价文件的获取</w:t>
      </w:r>
      <w:bookmarkEnd w:id="44"/>
      <w:bookmarkEnd w:id="45"/>
      <w:bookmarkEnd w:id="46"/>
      <w:bookmarkEnd w:id="47"/>
      <w:bookmarkEnd w:id="48"/>
    </w:p>
    <w:p w14:paraId="6C7A6060">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bookmarkStart w:id="49" w:name="_Toc318358535"/>
      <w:bookmarkStart w:id="50" w:name="_Toc324973000"/>
      <w:bookmarkStart w:id="51" w:name="_Toc328561063"/>
      <w:bookmarkStart w:id="52" w:name="_Toc325123783"/>
      <w:r>
        <w:rPr>
          <w:rFonts w:hint="eastAsia" w:ascii="宋体" w:hAnsi="宋体" w:eastAsia="宋体" w:cs="宋体"/>
          <w:color w:val="auto"/>
          <w:sz w:val="24"/>
          <w:szCs w:val="24"/>
          <w:highlight w:val="none"/>
        </w:rPr>
        <w:t>5.1凡有意参加询价响应的申请人，请于</w:t>
      </w:r>
      <w:r>
        <w:rPr>
          <w:rFonts w:hint="eastAsia" w:ascii="宋体" w:hAnsi="宋体" w:eastAsia="宋体" w:cs="宋体"/>
          <w:color w:val="auto"/>
          <w:sz w:val="24"/>
          <w:szCs w:val="24"/>
          <w:highlight w:val="none"/>
          <w:u w:val="single"/>
          <w:lang w:eastAsia="zh-CN"/>
        </w:rPr>
        <w:t>202</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u w:val="single"/>
          <w:lang w:val="en-US" w:eastAsia="zh-CN"/>
        </w:rPr>
        <w:t>16</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u w:val="single"/>
          <w:lang w:eastAsia="zh-CN"/>
        </w:rPr>
        <w:t>202</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u w:val="single"/>
          <w:lang w:val="en-US" w:eastAsia="zh-CN"/>
        </w:rPr>
        <w:t>19</w:t>
      </w:r>
      <w:r>
        <w:rPr>
          <w:rFonts w:hint="eastAsia" w:ascii="宋体" w:hAnsi="宋体" w:eastAsia="宋体" w:cs="宋体"/>
          <w:color w:val="auto"/>
          <w:sz w:val="24"/>
          <w:szCs w:val="24"/>
          <w:highlight w:val="none"/>
        </w:rPr>
        <w:t>日（法定公休日，法定节假日除外），每天上午</w:t>
      </w:r>
      <w:r>
        <w:rPr>
          <w:rFonts w:hint="eastAsia" w:ascii="宋体" w:hAnsi="宋体" w:eastAsia="宋体" w:cs="宋体"/>
          <w:color w:val="auto"/>
          <w:sz w:val="24"/>
          <w:szCs w:val="24"/>
          <w:highlight w:val="none"/>
          <w:u w:val="single"/>
        </w:rPr>
        <w:t>09</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rPr>
        <w:t>00</w:t>
      </w:r>
      <w:r>
        <w:rPr>
          <w:rFonts w:hint="eastAsia" w:ascii="宋体" w:hAnsi="宋体" w:eastAsia="宋体" w:cs="宋体"/>
          <w:color w:val="auto"/>
          <w:sz w:val="24"/>
          <w:szCs w:val="24"/>
          <w:highlight w:val="none"/>
        </w:rPr>
        <w:t>分至</w:t>
      </w:r>
      <w:r>
        <w:rPr>
          <w:rFonts w:hint="eastAsia" w:ascii="宋体" w:hAnsi="宋体" w:eastAsia="宋体" w:cs="宋体"/>
          <w:color w:val="auto"/>
          <w:sz w:val="24"/>
          <w:szCs w:val="24"/>
          <w:highlight w:val="none"/>
          <w:u w:val="single"/>
        </w:rPr>
        <w:t>11</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rPr>
        <w:t>30</w:t>
      </w:r>
      <w:r>
        <w:rPr>
          <w:rFonts w:hint="eastAsia" w:ascii="宋体" w:hAnsi="宋体" w:eastAsia="宋体" w:cs="宋体"/>
          <w:color w:val="auto"/>
          <w:sz w:val="24"/>
          <w:szCs w:val="24"/>
          <w:highlight w:val="none"/>
        </w:rPr>
        <w:t>分，下午</w:t>
      </w:r>
      <w:r>
        <w:rPr>
          <w:rFonts w:hint="eastAsia" w:ascii="宋体" w:hAnsi="宋体" w:eastAsia="宋体" w:cs="宋体"/>
          <w:color w:val="auto"/>
          <w:sz w:val="24"/>
          <w:szCs w:val="24"/>
          <w:highlight w:val="none"/>
          <w:u w:val="single"/>
        </w:rPr>
        <w:t>13</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rPr>
        <w:t>30</w:t>
      </w:r>
      <w:r>
        <w:rPr>
          <w:rFonts w:hint="eastAsia" w:ascii="宋体" w:hAnsi="宋体" w:eastAsia="宋体" w:cs="宋体"/>
          <w:color w:val="auto"/>
          <w:sz w:val="24"/>
          <w:szCs w:val="24"/>
          <w:highlight w:val="none"/>
        </w:rPr>
        <w:t>分至</w:t>
      </w:r>
      <w:r>
        <w:rPr>
          <w:rFonts w:hint="eastAsia" w:ascii="宋体" w:hAnsi="宋体" w:eastAsia="宋体" w:cs="宋体"/>
          <w:color w:val="auto"/>
          <w:sz w:val="24"/>
          <w:szCs w:val="24"/>
          <w:highlight w:val="none"/>
          <w:u w:val="single"/>
        </w:rPr>
        <w:t>17</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rPr>
        <w:t>00</w:t>
      </w:r>
      <w:r>
        <w:rPr>
          <w:rFonts w:hint="eastAsia" w:ascii="宋体" w:hAnsi="宋体" w:eastAsia="宋体" w:cs="宋体"/>
          <w:color w:val="auto"/>
          <w:sz w:val="24"/>
          <w:szCs w:val="24"/>
          <w:highlight w:val="none"/>
        </w:rPr>
        <w:t>分(北京时间，下同)，采用以下任意一种方式获取</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文件：</w:t>
      </w:r>
    </w:p>
    <w:p w14:paraId="319BFFB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①现场获取：携带法定代表人（合伙人）身份证明书原件、授权委托书原件、授权委托人身份证原件到云南国旭建设工程招标咨询有限公司（云南省昆明市官渡区春城路62号证券大厦附楼7楼777室）获取</w:t>
      </w:r>
      <w:r>
        <w:rPr>
          <w:rFonts w:hint="eastAsia" w:ascii="宋体" w:hAnsi="宋体" w:cs="宋体"/>
          <w:color w:val="auto"/>
          <w:sz w:val="24"/>
          <w:szCs w:val="24"/>
          <w:highlight w:val="none"/>
          <w:lang w:val="en-US" w:eastAsia="zh-CN"/>
        </w:rPr>
        <w:t>询价</w:t>
      </w:r>
      <w:r>
        <w:rPr>
          <w:rFonts w:hint="eastAsia" w:ascii="宋体" w:hAnsi="宋体" w:eastAsia="宋体" w:cs="宋体"/>
          <w:color w:val="auto"/>
          <w:sz w:val="24"/>
          <w:szCs w:val="24"/>
          <w:highlight w:val="none"/>
        </w:rPr>
        <w:t>文件；</w:t>
      </w:r>
    </w:p>
    <w:p w14:paraId="09A5E212">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网上获取：将法定代表人（合伙人）身份证明书、授权委托书、授权委托人身份证的复印件发送至709831885@qq.com邮箱并联系招标代理机构工作人员获取报名表、回传报名表，招标代理机构确认后，可将文件费用转至招标代理机构对公账户，回传缴费凭证后，招标文件将通过报名邮箱及时发出。（邮件发送时应注明项目名称、招标编号、单位名称、联系人、联系电话、开票信息）。</w:t>
      </w:r>
    </w:p>
    <w:p w14:paraId="63BD8043">
      <w:pPr>
        <w:pStyle w:val="8"/>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color w:val="auto"/>
          <w:highlight w:val="none"/>
        </w:rPr>
      </w:pPr>
      <w:r>
        <w:rPr>
          <w:rFonts w:hint="eastAsia" w:ascii="宋体" w:hAnsi="宋体" w:eastAsia="宋体" w:cs="宋体"/>
          <w:color w:val="auto"/>
          <w:sz w:val="24"/>
          <w:szCs w:val="24"/>
          <w:highlight w:val="none"/>
          <w:lang w:val="en-US" w:eastAsia="zh-CN" w:bidi="ar-SA"/>
        </w:rPr>
        <w:t>5.2询价文件每套售价</w:t>
      </w:r>
      <w:r>
        <w:rPr>
          <w:rFonts w:hint="eastAsia"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00.00元，售后不退；询价文件费用的缴纳，只能采用公对公转账（不接受私人对公转账）或者现金缴纳的方式；也不提供邮购询价文件服务。</w:t>
      </w:r>
    </w:p>
    <w:p w14:paraId="0EE14E78">
      <w:pPr>
        <w:spacing w:line="360" w:lineRule="auto"/>
        <w:ind w:firstLine="420" w:firstLineChars="0"/>
        <w:outlineLvl w:val="1"/>
        <w:rPr>
          <w:rFonts w:hint="eastAsia" w:ascii="宋体" w:hAnsi="宋体" w:eastAsia="宋体" w:cs="宋体"/>
          <w:color w:val="auto"/>
          <w:sz w:val="28"/>
          <w:szCs w:val="28"/>
          <w:highlight w:val="none"/>
        </w:rPr>
      </w:pPr>
      <w:bookmarkStart w:id="53" w:name="_Toc324972999"/>
      <w:bookmarkStart w:id="54" w:name="_Toc22099"/>
      <w:bookmarkStart w:id="55" w:name="_Toc328561062"/>
      <w:bookmarkStart w:id="56" w:name="_Toc5359"/>
      <w:bookmarkStart w:id="57" w:name="_Toc4718"/>
      <w:bookmarkStart w:id="58" w:name="_Toc432792965"/>
      <w:bookmarkStart w:id="59" w:name="_Toc325123782"/>
      <w:bookmarkStart w:id="60" w:name="_Toc28701"/>
      <w:bookmarkStart w:id="61" w:name="_Toc318358534"/>
      <w:bookmarkStart w:id="62" w:name="_Toc23659"/>
      <w:r>
        <w:rPr>
          <w:rFonts w:hint="eastAsia" w:ascii="宋体" w:hAnsi="宋体" w:eastAsia="宋体" w:cs="宋体"/>
          <w:color w:val="auto"/>
          <w:sz w:val="28"/>
          <w:szCs w:val="28"/>
          <w:highlight w:val="none"/>
        </w:rPr>
        <w:t>6.响应文件的递交</w:t>
      </w:r>
      <w:bookmarkEnd w:id="53"/>
      <w:bookmarkEnd w:id="54"/>
      <w:bookmarkEnd w:id="55"/>
      <w:bookmarkEnd w:id="56"/>
      <w:bookmarkEnd w:id="57"/>
      <w:bookmarkEnd w:id="58"/>
      <w:bookmarkEnd w:id="59"/>
      <w:bookmarkEnd w:id="60"/>
      <w:bookmarkEnd w:id="61"/>
      <w:bookmarkEnd w:id="62"/>
    </w:p>
    <w:p w14:paraId="3AC8EA85">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6.1询价响应文件的递交方式为</w:t>
      </w:r>
      <w:r>
        <w:rPr>
          <w:rFonts w:hint="eastAsia" w:ascii="宋体" w:hAnsi="宋体" w:eastAsia="宋体" w:cs="宋体"/>
          <w:color w:val="auto"/>
          <w:sz w:val="24"/>
          <w:szCs w:val="24"/>
          <w:highlight w:val="none"/>
          <w:u w:val="single"/>
        </w:rPr>
        <w:t>现场递交</w:t>
      </w:r>
      <w:r>
        <w:rPr>
          <w:rFonts w:hint="eastAsia" w:ascii="宋体" w:hAnsi="宋体" w:eastAsia="宋体" w:cs="宋体"/>
          <w:color w:val="auto"/>
          <w:sz w:val="24"/>
          <w:szCs w:val="24"/>
          <w:highlight w:val="none"/>
        </w:rPr>
        <w:t>。</w:t>
      </w:r>
    </w:p>
    <w:p w14:paraId="2450D08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6.2响应文件递交的截止时间为年</w:t>
      </w:r>
      <w:r>
        <w:rPr>
          <w:rFonts w:hint="eastAsia" w:ascii="宋体" w:hAnsi="宋体" w:eastAsia="宋体" w:cs="宋体"/>
          <w:color w:val="auto"/>
          <w:sz w:val="24"/>
          <w:szCs w:val="24"/>
          <w:highlight w:val="none"/>
          <w:u w:val="single"/>
          <w:lang w:eastAsia="zh-CN"/>
        </w:rPr>
        <w:t>202</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u w:val="single"/>
          <w:lang w:val="en-US" w:eastAsia="zh-CN"/>
        </w:rPr>
        <w:t>22</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lang w:val="en-US" w:eastAsia="zh-CN"/>
        </w:rPr>
        <w:t>1</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lang w:val="en-US" w:eastAsia="zh-CN"/>
        </w:rPr>
        <w:t>00</w:t>
      </w:r>
      <w:r>
        <w:rPr>
          <w:rFonts w:hint="eastAsia" w:ascii="宋体" w:hAnsi="宋体" w:eastAsia="宋体" w:cs="宋体"/>
          <w:color w:val="auto"/>
          <w:sz w:val="24"/>
          <w:szCs w:val="24"/>
          <w:highlight w:val="none"/>
        </w:rPr>
        <w:t>分，地点为：</w:t>
      </w:r>
      <w:r>
        <w:rPr>
          <w:rFonts w:hint="eastAsia" w:ascii="宋体" w:hAnsi="宋体" w:eastAsia="宋体" w:cs="宋体"/>
          <w:color w:val="auto"/>
          <w:sz w:val="24"/>
          <w:szCs w:val="24"/>
          <w:highlight w:val="none"/>
          <w:u w:val="single"/>
          <w:lang w:val="en-US" w:eastAsia="zh-CN"/>
        </w:rPr>
        <w:t xml:space="preserve"> 云南国旭建设工程招标咨询有限公司（云南省昆明市官渡区春城路62号证券大厦附楼7楼）</w:t>
      </w:r>
      <w:r>
        <w:rPr>
          <w:rFonts w:hint="eastAsia" w:ascii="宋体" w:hAnsi="宋体" w:cs="宋体"/>
          <w:color w:val="auto"/>
          <w:sz w:val="24"/>
          <w:szCs w:val="24"/>
          <w:highlight w:val="none"/>
          <w:u w:val="single"/>
          <w:lang w:val="en-US" w:eastAsia="zh-CN"/>
        </w:rPr>
        <w:t>666</w:t>
      </w:r>
      <w:r>
        <w:rPr>
          <w:rFonts w:hint="eastAsia" w:ascii="宋体" w:hAnsi="宋体" w:eastAsia="宋体" w:cs="宋体"/>
          <w:color w:val="auto"/>
          <w:sz w:val="24"/>
          <w:szCs w:val="24"/>
          <w:highlight w:val="none"/>
          <w:u w:val="single"/>
          <w:lang w:val="en-US" w:eastAsia="zh-CN"/>
        </w:rPr>
        <w:t>会议室</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rPr>
        <w:t>逾期送达或者未送达指定地点的响应文件，采购人将不予受理</w:t>
      </w:r>
      <w:r>
        <w:rPr>
          <w:rFonts w:hint="eastAsia" w:ascii="宋体" w:hAnsi="宋体" w:eastAsia="宋体" w:cs="宋体"/>
          <w:color w:val="auto"/>
          <w:sz w:val="24"/>
          <w:szCs w:val="24"/>
          <w:highlight w:val="none"/>
          <w:lang w:eastAsia="zh-CN"/>
        </w:rPr>
        <w:t>。</w:t>
      </w:r>
    </w:p>
    <w:p w14:paraId="464C73B2">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6.3</w:t>
      </w:r>
      <w:r>
        <w:rPr>
          <w:rFonts w:hint="eastAsia" w:ascii="宋体" w:hAnsi="宋体" w:eastAsia="宋体" w:cs="宋体"/>
          <w:color w:val="auto"/>
          <w:sz w:val="24"/>
          <w:szCs w:val="24"/>
          <w:highlight w:val="none"/>
        </w:rPr>
        <w:t>本项目的</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将于上述响应文件递交截止的同一时间同一地点进行，各申请人的法定代表人（合伙人）或其授权代理人应准时参加。</w:t>
      </w:r>
    </w:p>
    <w:p w14:paraId="51AD2C96">
      <w:pPr>
        <w:spacing w:line="360" w:lineRule="auto"/>
        <w:ind w:firstLine="420" w:firstLineChars="0"/>
        <w:outlineLvl w:val="1"/>
        <w:rPr>
          <w:rFonts w:hint="eastAsia" w:ascii="宋体" w:hAnsi="宋体" w:eastAsia="宋体" w:cs="宋体"/>
          <w:color w:val="auto"/>
          <w:sz w:val="28"/>
          <w:szCs w:val="28"/>
          <w:highlight w:val="none"/>
        </w:rPr>
      </w:pPr>
      <w:bookmarkStart w:id="63" w:name="_Toc25529"/>
      <w:bookmarkStart w:id="64" w:name="_Toc6123"/>
      <w:bookmarkStart w:id="65" w:name="_Toc29418"/>
      <w:bookmarkStart w:id="66" w:name="_Toc20155"/>
      <w:r>
        <w:rPr>
          <w:rFonts w:hint="eastAsia" w:ascii="宋体" w:hAnsi="宋体" w:eastAsia="宋体" w:cs="宋体"/>
          <w:color w:val="auto"/>
          <w:sz w:val="28"/>
          <w:szCs w:val="28"/>
          <w:highlight w:val="none"/>
        </w:rPr>
        <w:t>7.发布公告的媒介</w:t>
      </w:r>
      <w:bookmarkEnd w:id="63"/>
      <w:bookmarkEnd w:id="64"/>
      <w:bookmarkEnd w:id="65"/>
      <w:bookmarkEnd w:id="66"/>
    </w:p>
    <w:bookmarkEnd w:id="49"/>
    <w:bookmarkEnd w:id="50"/>
    <w:bookmarkEnd w:id="51"/>
    <w:bookmarkEnd w:id="52"/>
    <w:p w14:paraId="27A26FA0">
      <w:pPr>
        <w:spacing w:line="360" w:lineRule="auto"/>
        <w:ind w:firstLine="480" w:firstLineChars="200"/>
        <w:outlineLvl w:val="1"/>
        <w:rPr>
          <w:rFonts w:hint="eastAsia" w:ascii="宋体" w:hAnsi="宋体" w:eastAsia="宋体" w:cs="宋体"/>
          <w:color w:val="auto"/>
          <w:sz w:val="24"/>
          <w:szCs w:val="24"/>
          <w:highlight w:val="none"/>
        </w:rPr>
      </w:pPr>
      <w:bookmarkStart w:id="67" w:name="_Toc328561064"/>
      <w:bookmarkStart w:id="68" w:name="_Toc318358536"/>
      <w:bookmarkStart w:id="69" w:name="_Toc27544"/>
      <w:bookmarkStart w:id="70" w:name="_Toc19710"/>
      <w:bookmarkStart w:id="71" w:name="_Toc30940"/>
      <w:bookmarkStart w:id="72" w:name="_Toc31473"/>
      <w:bookmarkStart w:id="73" w:name="_Toc324973001"/>
      <w:bookmarkStart w:id="74" w:name="_Toc432792966"/>
      <w:bookmarkStart w:id="75" w:name="_Toc19619"/>
      <w:bookmarkStart w:id="76" w:name="_Toc325123784"/>
      <w:r>
        <w:rPr>
          <w:rFonts w:hint="eastAsia" w:ascii="宋体" w:hAnsi="宋体" w:eastAsia="宋体" w:cs="宋体"/>
          <w:color w:val="auto"/>
          <w:sz w:val="24"/>
          <w:szCs w:val="24"/>
          <w:highlight w:val="none"/>
        </w:rPr>
        <w:t>本次询价公告同时在昆明安保（集团）有限责任公司官网（https://www.kmabjt.com/）、中国招标投标公共服务平台（http://www.cebpubservice.com/）、智慧云上云招投标平台（https://www.zhysy.com）、云采招阳（https://www.ebidcn.com）上发布，对在其他网站或媒体转载的公告及公告内容采购人不承担任何责任。询价文件如有变更或澄清将在询价公告发布平台或以书面形式发布。</w:t>
      </w:r>
    </w:p>
    <w:p w14:paraId="5EBFAD3A">
      <w:pPr>
        <w:spacing w:line="360" w:lineRule="auto"/>
        <w:ind w:firstLine="560" w:firstLineChars="200"/>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8.联系方式</w:t>
      </w:r>
      <w:bookmarkEnd w:id="67"/>
      <w:bookmarkEnd w:id="68"/>
      <w:bookmarkEnd w:id="69"/>
      <w:bookmarkEnd w:id="70"/>
      <w:bookmarkEnd w:id="71"/>
      <w:bookmarkEnd w:id="72"/>
      <w:bookmarkEnd w:id="73"/>
      <w:bookmarkEnd w:id="74"/>
      <w:bookmarkEnd w:id="75"/>
      <w:bookmarkEnd w:id="76"/>
    </w:p>
    <w:p w14:paraId="23EEA71C">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招标</w:t>
      </w:r>
      <w:r>
        <w:rPr>
          <w:rFonts w:hint="eastAsia" w:ascii="宋体" w:hAnsi="宋体" w:eastAsia="宋体" w:cs="宋体"/>
          <w:color w:val="auto"/>
          <w:sz w:val="24"/>
          <w:szCs w:val="24"/>
          <w:highlight w:val="none"/>
        </w:rPr>
        <w:t>人：</w:t>
      </w:r>
      <w:r>
        <w:rPr>
          <w:rFonts w:hint="eastAsia" w:ascii="宋体" w:hAnsi="宋体" w:cs="宋体"/>
          <w:color w:val="auto"/>
          <w:sz w:val="24"/>
          <w:szCs w:val="24"/>
          <w:highlight w:val="none"/>
          <w:lang w:eastAsia="zh-CN"/>
        </w:rPr>
        <w:t>昆明安保（集团）有限责任公司</w:t>
      </w:r>
    </w:p>
    <w:p w14:paraId="72064D4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地址：昆明市官渡区宝海路121号宝海新苑D栋</w:t>
      </w:r>
    </w:p>
    <w:p w14:paraId="7B22CB98">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联系人：黄艳艳</w:t>
      </w:r>
    </w:p>
    <w:p w14:paraId="5E78012B">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电话：13648851854</w:t>
      </w:r>
    </w:p>
    <w:p w14:paraId="6C9A9A8E">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p>
    <w:p w14:paraId="41804719">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招标代理机构：云南国旭建设工程招标咨询有限公司</w:t>
      </w:r>
    </w:p>
    <w:p w14:paraId="03DE8DB5">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地址：云南省昆明市官渡区春城路62号证券大厦附楼7楼</w:t>
      </w:r>
    </w:p>
    <w:p w14:paraId="2294A6B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联系人：石光明</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包效民、</w:t>
      </w:r>
      <w:r>
        <w:rPr>
          <w:rFonts w:hint="eastAsia" w:ascii="宋体" w:hAnsi="宋体" w:eastAsia="宋体" w:cs="宋体"/>
          <w:color w:val="auto"/>
          <w:sz w:val="24"/>
          <w:szCs w:val="24"/>
          <w:highlight w:val="none"/>
        </w:rPr>
        <w:t>钟娟玲、姚春玲、张进文</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李永辉</w:t>
      </w:r>
      <w:bookmarkStart w:id="222" w:name="_GoBack"/>
      <w:bookmarkEnd w:id="222"/>
    </w:p>
    <w:p w14:paraId="60CB11B8">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电话：0871-65823456</w:t>
      </w:r>
      <w:r>
        <w:rPr>
          <w:rFonts w:hint="eastAsia" w:ascii="宋体" w:hAnsi="宋体" w:cs="宋体"/>
          <w:color w:val="auto"/>
          <w:sz w:val="24"/>
          <w:szCs w:val="24"/>
          <w:highlight w:val="none"/>
          <w:lang w:val="en-US" w:eastAsia="zh-CN"/>
        </w:rPr>
        <w:t>、19988554888、</w:t>
      </w:r>
      <w:r>
        <w:rPr>
          <w:rFonts w:hint="eastAsia" w:ascii="宋体" w:hAnsi="宋体" w:eastAsia="宋体" w:cs="宋体"/>
          <w:color w:val="auto"/>
          <w:sz w:val="24"/>
          <w:szCs w:val="24"/>
          <w:highlight w:val="none"/>
          <w:lang w:val="en-US" w:eastAsia="zh-CN"/>
        </w:rPr>
        <w:t>15388888176</w:t>
      </w:r>
    </w:p>
    <w:p w14:paraId="0085A298">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开户名：云南国旭建设工程招标咨询有限公司</w:t>
      </w:r>
    </w:p>
    <w:p w14:paraId="053F469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开户银行：中国工商银行昆明世纪城支行</w:t>
      </w:r>
    </w:p>
    <w:p w14:paraId="4D4BAA6E">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color w:val="auto"/>
          <w:sz w:val="24"/>
          <w:szCs w:val="24"/>
          <w:highlight w:val="none"/>
        </w:rPr>
        <w:t>账号：2502045109000114153</w:t>
      </w:r>
    </w:p>
    <w:p w14:paraId="01686A9D">
      <w:pPr>
        <w:keepNext w:val="0"/>
        <w:keepLines w:val="0"/>
        <w:pageBreakBefore w:val="0"/>
        <w:widowControl/>
        <w:kinsoku/>
        <w:wordWrap/>
        <w:overflowPunct/>
        <w:topLinePunct w:val="0"/>
        <w:autoSpaceDE/>
        <w:autoSpaceDN/>
        <w:bidi w:val="0"/>
        <w:adjustRightInd/>
        <w:snapToGrid/>
        <w:spacing w:line="360" w:lineRule="auto"/>
        <w:ind w:firstLine="720" w:firstLineChars="200"/>
        <w:jc w:val="center"/>
        <w:textAlignment w:val="auto"/>
        <w:outlineLvl w:val="0"/>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br w:type="page"/>
      </w:r>
      <w:bookmarkStart w:id="77" w:name="_Toc20498"/>
      <w:r>
        <w:rPr>
          <w:rFonts w:hint="eastAsia" w:ascii="宋体" w:hAnsi="宋体" w:eastAsia="宋体" w:cs="宋体"/>
          <w:color w:val="auto"/>
          <w:sz w:val="36"/>
          <w:szCs w:val="36"/>
          <w:highlight w:val="none"/>
        </w:rPr>
        <w:t>第二章</w:t>
      </w:r>
      <w:r>
        <w:rPr>
          <w:rFonts w:hint="eastAsia" w:ascii="宋体" w:hAnsi="宋体" w:eastAsia="宋体" w:cs="宋体"/>
          <w:color w:val="auto"/>
          <w:sz w:val="36"/>
          <w:szCs w:val="36"/>
          <w:highlight w:val="none"/>
          <w:lang w:val="en-US" w:eastAsia="zh-CN"/>
        </w:rPr>
        <w:t xml:space="preserve"> </w:t>
      </w:r>
      <w:r>
        <w:rPr>
          <w:rFonts w:hint="eastAsia" w:ascii="宋体" w:hAnsi="宋体" w:eastAsia="宋体" w:cs="宋体"/>
          <w:color w:val="auto"/>
          <w:sz w:val="36"/>
          <w:szCs w:val="36"/>
          <w:highlight w:val="none"/>
        </w:rPr>
        <w:t>申请人须知</w:t>
      </w:r>
      <w:bookmarkEnd w:id="7"/>
      <w:bookmarkEnd w:id="77"/>
    </w:p>
    <w:p w14:paraId="76AAC31F">
      <w:pPr>
        <w:pStyle w:val="3"/>
        <w:spacing w:before="0" w:after="0" w:line="520" w:lineRule="exact"/>
        <w:jc w:val="center"/>
        <w:rPr>
          <w:rFonts w:hint="eastAsia" w:ascii="宋体" w:hAnsi="宋体" w:eastAsia="宋体" w:cs="宋体"/>
          <w:b w:val="0"/>
          <w:bCs w:val="0"/>
          <w:color w:val="auto"/>
          <w:highlight w:val="none"/>
        </w:rPr>
      </w:pPr>
      <w:bookmarkStart w:id="78" w:name="_Toc22983"/>
      <w:bookmarkStart w:id="79" w:name="_Toc7675"/>
      <w:bookmarkStart w:id="80" w:name="_Toc30691"/>
      <w:r>
        <w:rPr>
          <w:rFonts w:hint="eastAsia" w:ascii="宋体" w:hAnsi="宋体" w:eastAsia="宋体" w:cs="宋体"/>
          <w:b w:val="0"/>
          <w:bCs w:val="0"/>
          <w:color w:val="auto"/>
          <w:highlight w:val="none"/>
        </w:rPr>
        <w:t>1.询价文件</w:t>
      </w:r>
      <w:bookmarkEnd w:id="78"/>
      <w:bookmarkEnd w:id="79"/>
      <w:bookmarkEnd w:id="80"/>
    </w:p>
    <w:p w14:paraId="6E22F4E5">
      <w:pPr>
        <w:pStyle w:val="41"/>
        <w:spacing w:line="360" w:lineRule="auto"/>
        <w:rPr>
          <w:rFonts w:hint="eastAsia" w:ascii="宋体" w:hAnsi="宋体" w:eastAsia="宋体" w:cs="宋体"/>
          <w:color w:val="auto"/>
          <w:kern w:val="0"/>
          <w:sz w:val="28"/>
          <w:szCs w:val="28"/>
          <w:highlight w:val="none"/>
        </w:rPr>
      </w:pPr>
      <w:bookmarkStart w:id="81" w:name="_Toc32101"/>
      <w:bookmarkStart w:id="82" w:name="_Toc16753"/>
      <w:r>
        <w:rPr>
          <w:rFonts w:hint="eastAsia" w:ascii="宋体" w:hAnsi="宋体" w:eastAsia="宋体" w:cs="宋体"/>
          <w:color w:val="auto"/>
          <w:kern w:val="0"/>
          <w:sz w:val="28"/>
          <w:szCs w:val="28"/>
          <w:highlight w:val="none"/>
        </w:rPr>
        <w:t>1.1询价文件的组成</w:t>
      </w:r>
      <w:bookmarkEnd w:id="81"/>
      <w:bookmarkEnd w:id="82"/>
    </w:p>
    <w:p w14:paraId="7D577CFE">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xml:space="preserve">第一章 </w:t>
      </w:r>
      <w:r>
        <w:rPr>
          <w:rFonts w:hint="eastAsia" w:ascii="宋体" w:hAnsi="宋体" w:eastAsia="宋体" w:cs="宋体"/>
          <w:color w:val="auto"/>
          <w:sz w:val="24"/>
          <w:szCs w:val="24"/>
          <w:highlight w:val="none"/>
          <w:lang w:eastAsia="zh-CN"/>
        </w:rPr>
        <w:t>询价邀请书</w:t>
      </w:r>
    </w:p>
    <w:p w14:paraId="1509030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第二章 申请人须知</w:t>
      </w:r>
    </w:p>
    <w:p w14:paraId="108EB83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第三章 评审办法</w:t>
      </w:r>
    </w:p>
    <w:p w14:paraId="1E382E3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第四章 采购需求</w:t>
      </w:r>
    </w:p>
    <w:p w14:paraId="59AE5DE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第五章 合同条款及格式</w:t>
      </w:r>
    </w:p>
    <w:p w14:paraId="4C5A17B1">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第六章 响应文件格式</w:t>
      </w:r>
    </w:p>
    <w:p w14:paraId="7F1DC93C">
      <w:pPr>
        <w:pStyle w:val="41"/>
        <w:spacing w:line="360" w:lineRule="auto"/>
        <w:rPr>
          <w:rFonts w:hint="eastAsia" w:ascii="宋体" w:hAnsi="宋体" w:eastAsia="宋体" w:cs="宋体"/>
          <w:color w:val="auto"/>
          <w:kern w:val="0"/>
          <w:sz w:val="28"/>
          <w:szCs w:val="28"/>
          <w:highlight w:val="none"/>
        </w:rPr>
      </w:pPr>
      <w:bookmarkStart w:id="83" w:name="_Toc23018"/>
      <w:bookmarkStart w:id="84" w:name="_Toc16133"/>
      <w:r>
        <w:rPr>
          <w:rFonts w:hint="eastAsia" w:ascii="宋体" w:hAnsi="宋体" w:eastAsia="宋体" w:cs="宋体"/>
          <w:color w:val="auto"/>
          <w:kern w:val="0"/>
          <w:sz w:val="28"/>
          <w:szCs w:val="28"/>
          <w:highlight w:val="none"/>
        </w:rPr>
        <w:t>1.2询价文件的澄清及修改</w:t>
      </w:r>
      <w:bookmarkEnd w:id="83"/>
      <w:bookmarkEnd w:id="84"/>
    </w:p>
    <w:p w14:paraId="05EFC62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申请人应仔细阅读和检查询价文件的全部内容。如发现缺页或附件不全，应及时向采购人提出，以便补齐。如有疑问，应在递交响应文件截止时间1个工作日之前以书面形式（包括信函、电报、传真等可以有形地表现所载内容的形式，下同）要求采购人对询价文件予以澄清。</w:t>
      </w:r>
    </w:p>
    <w:p w14:paraId="26F3601D">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递交响应文件截止时间前，采购人可以对已发出的询价文件进行必要的澄清或者修改。采购人将澄清或者修改的内容以书面形式通知所有按本询价文件规定的方式获取询价文件的申请人，通知的时间距提交响应文件截止之日</w:t>
      </w:r>
      <w:r>
        <w:rPr>
          <w:rFonts w:hint="eastAsia" w:ascii="宋体" w:hAnsi="宋体" w:eastAsia="宋体" w:cs="宋体"/>
          <w:color w:val="auto"/>
          <w:sz w:val="24"/>
          <w:szCs w:val="24"/>
          <w:highlight w:val="none"/>
          <w:u w:val="single"/>
        </w:rPr>
        <w:t>不足3日</w:t>
      </w:r>
      <w:r>
        <w:rPr>
          <w:rFonts w:hint="eastAsia" w:ascii="宋体" w:hAnsi="宋体" w:eastAsia="宋体" w:cs="宋体"/>
          <w:color w:val="auto"/>
          <w:sz w:val="24"/>
          <w:szCs w:val="24"/>
          <w:highlight w:val="none"/>
        </w:rPr>
        <w:t>，并且澄清或者修改的内容可能影响响应文件编制的，将相应延长提交响应文件的截止时间。</w:t>
      </w:r>
    </w:p>
    <w:p w14:paraId="1D5D87E3">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1.2.3申请人在收到澄清或者修改的通知后，应以书面形式确认已收到该澄清或者修改的通知，如未书面回复采购人视为默认已收到。</w:t>
      </w:r>
    </w:p>
    <w:p w14:paraId="04C2B6B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1.2.4除非采购人认为确有必要答复，否则，采购人有权拒绝回复申请人在本章第1.1.1项规定的时间后的任何澄清要求。</w:t>
      </w:r>
    </w:p>
    <w:p w14:paraId="4BEC08A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1.2.5采购人对询价文件所作的澄清、修改，以书面形式发出的答疑书、补遗书或补充通知等属于询价文件的组成部分。</w:t>
      </w:r>
    </w:p>
    <w:p w14:paraId="7FBE95FD">
      <w:pPr>
        <w:pStyle w:val="3"/>
        <w:spacing w:before="0" w:after="0" w:line="360" w:lineRule="auto"/>
        <w:jc w:val="center"/>
        <w:rPr>
          <w:rFonts w:hint="eastAsia" w:ascii="宋体" w:hAnsi="宋体" w:eastAsia="宋体" w:cs="宋体"/>
          <w:b w:val="0"/>
          <w:bCs w:val="0"/>
          <w:color w:val="auto"/>
          <w:highlight w:val="none"/>
        </w:rPr>
      </w:pPr>
      <w:bookmarkStart w:id="85" w:name="_Toc152047211"/>
      <w:bookmarkStart w:id="86" w:name="_Toc179715704"/>
      <w:bookmarkStart w:id="87" w:name="_Toc144974415"/>
      <w:bookmarkStart w:id="88" w:name="_Toc3067"/>
      <w:bookmarkStart w:id="89" w:name="_Toc901"/>
      <w:bookmarkStart w:id="90" w:name="_Toc12739"/>
      <w:bookmarkStart w:id="91" w:name="_Toc21771"/>
      <w:bookmarkStart w:id="92" w:name="_Toc432792970"/>
      <w:r>
        <w:rPr>
          <w:rFonts w:hint="eastAsia" w:ascii="宋体" w:hAnsi="宋体" w:eastAsia="宋体" w:cs="宋体"/>
          <w:b w:val="0"/>
          <w:bCs w:val="0"/>
          <w:color w:val="auto"/>
          <w:highlight w:val="none"/>
        </w:rPr>
        <w:t>2.</w:t>
      </w:r>
      <w:bookmarkEnd w:id="85"/>
      <w:bookmarkEnd w:id="86"/>
      <w:bookmarkEnd w:id="87"/>
      <w:r>
        <w:rPr>
          <w:rFonts w:hint="eastAsia" w:ascii="宋体" w:hAnsi="宋体" w:eastAsia="宋体" w:cs="宋体"/>
          <w:b w:val="0"/>
          <w:bCs w:val="0"/>
          <w:color w:val="auto"/>
          <w:highlight w:val="none"/>
        </w:rPr>
        <w:t>响应文件</w:t>
      </w:r>
      <w:bookmarkEnd w:id="88"/>
      <w:bookmarkEnd w:id="89"/>
      <w:bookmarkEnd w:id="90"/>
      <w:bookmarkEnd w:id="91"/>
      <w:bookmarkEnd w:id="92"/>
    </w:p>
    <w:p w14:paraId="6B1CF579">
      <w:pPr>
        <w:pStyle w:val="41"/>
        <w:spacing w:line="360" w:lineRule="auto"/>
        <w:rPr>
          <w:rFonts w:hint="eastAsia" w:ascii="宋体" w:hAnsi="宋体" w:eastAsia="宋体" w:cs="宋体"/>
          <w:color w:val="auto"/>
          <w:kern w:val="0"/>
          <w:sz w:val="28"/>
          <w:szCs w:val="28"/>
          <w:highlight w:val="none"/>
        </w:rPr>
      </w:pPr>
      <w:bookmarkStart w:id="93" w:name="_Toc6979"/>
      <w:bookmarkStart w:id="94" w:name="_Toc29324"/>
      <w:r>
        <w:rPr>
          <w:rFonts w:hint="eastAsia" w:ascii="宋体" w:hAnsi="宋体" w:eastAsia="宋体" w:cs="宋体"/>
          <w:color w:val="auto"/>
          <w:kern w:val="0"/>
          <w:sz w:val="28"/>
          <w:szCs w:val="28"/>
          <w:highlight w:val="none"/>
        </w:rPr>
        <w:t>2.1报价</w:t>
      </w:r>
      <w:bookmarkEnd w:id="93"/>
      <w:bookmarkEnd w:id="94"/>
    </w:p>
    <w:p w14:paraId="2362FED1">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2.1.1本项目以</w:t>
      </w:r>
      <w:r>
        <w:rPr>
          <w:rFonts w:hint="eastAsia" w:ascii="宋体" w:hAnsi="宋体" w:cs="宋体"/>
          <w:b/>
          <w:bCs/>
          <w:color w:val="auto"/>
          <w:sz w:val="24"/>
          <w:szCs w:val="24"/>
          <w:highlight w:val="none"/>
          <w:lang w:val="en-US" w:eastAsia="zh-CN"/>
        </w:rPr>
        <w:t>含税包干价（总价）</w:t>
      </w:r>
      <w:r>
        <w:rPr>
          <w:rFonts w:hint="eastAsia" w:ascii="宋体" w:hAnsi="宋体" w:eastAsia="宋体" w:cs="宋体"/>
          <w:color w:val="auto"/>
          <w:sz w:val="24"/>
          <w:szCs w:val="24"/>
          <w:highlight w:val="none"/>
        </w:rPr>
        <w:t>方式报价。申请人自行结合本项目采购需求、市场行情、自身实力等情况，充分考虑本项目明示和暗示的一切责任和风险后进行科学合理的报价，报价应包括完成本项目全部工作所需的一切费用，包括但不限于直接成本、间接成本、税金、利润、</w:t>
      </w:r>
      <w:r>
        <w:rPr>
          <w:rFonts w:hint="eastAsia" w:ascii="宋体" w:hAnsi="宋体" w:cs="宋体"/>
          <w:color w:val="auto"/>
          <w:sz w:val="24"/>
          <w:szCs w:val="24"/>
          <w:highlight w:val="none"/>
          <w:lang w:val="en-US" w:eastAsia="zh-CN"/>
        </w:rPr>
        <w:t>运输</w:t>
      </w:r>
      <w:r>
        <w:rPr>
          <w:rFonts w:hint="eastAsia" w:ascii="宋体" w:hAnsi="宋体" w:eastAsia="宋体" w:cs="宋体"/>
          <w:color w:val="auto"/>
          <w:sz w:val="24"/>
          <w:szCs w:val="24"/>
          <w:highlight w:val="none"/>
        </w:rPr>
        <w:t>等。在合同实施期间，成交</w:t>
      </w:r>
      <w:r>
        <w:rPr>
          <w:rFonts w:hint="eastAsia" w:ascii="宋体" w:hAnsi="宋体" w:cs="宋体"/>
          <w:color w:val="auto"/>
          <w:sz w:val="24"/>
          <w:szCs w:val="24"/>
          <w:highlight w:val="none"/>
          <w:lang w:val="en-US" w:eastAsia="zh-CN"/>
        </w:rPr>
        <w:t>下浮率</w:t>
      </w:r>
      <w:r>
        <w:rPr>
          <w:rFonts w:hint="eastAsia" w:ascii="宋体" w:hAnsi="宋体" w:eastAsia="宋体" w:cs="宋体"/>
          <w:color w:val="auto"/>
          <w:sz w:val="24"/>
          <w:szCs w:val="24"/>
          <w:highlight w:val="none"/>
        </w:rPr>
        <w:t>不因国家政策或法规、标准及市场因素的变化而调整，也不因具体承担服务内容和工作量的调整而调整。由于申请人填报不完整、不清楚或存在其它失误导致的任何不利后果均由申请人自行承担。</w:t>
      </w:r>
    </w:p>
    <w:p w14:paraId="2C3324A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2.1.2报价</w:t>
      </w:r>
      <w:r>
        <w:rPr>
          <w:rFonts w:hint="eastAsia" w:ascii="宋体" w:hAnsi="宋体" w:cs="宋体"/>
          <w:color w:val="auto"/>
          <w:sz w:val="24"/>
          <w:szCs w:val="24"/>
          <w:highlight w:val="none"/>
          <w:lang w:val="en-US" w:eastAsia="zh-CN"/>
        </w:rPr>
        <w:t>计算</w:t>
      </w:r>
      <w:r>
        <w:rPr>
          <w:rFonts w:hint="eastAsia" w:ascii="宋体" w:hAnsi="宋体" w:eastAsia="宋体" w:cs="宋体"/>
          <w:color w:val="auto"/>
          <w:sz w:val="24"/>
          <w:szCs w:val="24"/>
          <w:highlight w:val="none"/>
        </w:rPr>
        <w:t>以人民币计算，以其他货币</w:t>
      </w:r>
      <w:r>
        <w:rPr>
          <w:rFonts w:hint="eastAsia" w:ascii="宋体" w:hAnsi="宋体" w:cs="宋体"/>
          <w:color w:val="auto"/>
          <w:sz w:val="24"/>
          <w:szCs w:val="24"/>
          <w:highlight w:val="none"/>
          <w:lang w:val="en-US" w:eastAsia="zh-CN"/>
        </w:rPr>
        <w:t>结算</w:t>
      </w:r>
      <w:r>
        <w:rPr>
          <w:rFonts w:hint="eastAsia" w:ascii="宋体" w:hAnsi="宋体" w:eastAsia="宋体" w:cs="宋体"/>
          <w:color w:val="auto"/>
          <w:sz w:val="24"/>
          <w:szCs w:val="24"/>
          <w:highlight w:val="none"/>
        </w:rPr>
        <w:t>报价的投标属无效投标。</w:t>
      </w:r>
    </w:p>
    <w:p w14:paraId="78029F76">
      <w:pPr>
        <w:pStyle w:val="10"/>
        <w:spacing w:after="0" w:line="360" w:lineRule="auto"/>
        <w:ind w:firstLine="482" w:firstLineChars="200"/>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2.1.3报价不得高于第一章的最高投标限价</w:t>
      </w:r>
      <w:r>
        <w:rPr>
          <w:rFonts w:hint="eastAsia" w:ascii="宋体" w:hAnsi="宋体" w:eastAsia="宋体" w:cs="宋体"/>
          <w:color w:val="auto"/>
          <w:sz w:val="24"/>
          <w:highlight w:val="none"/>
        </w:rPr>
        <w:t>，如申请人的报价高于最高投标限价将作投标被否决处理。</w:t>
      </w:r>
    </w:p>
    <w:p w14:paraId="33798151">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.1.4本项目不允许二次报价。</w:t>
      </w:r>
    </w:p>
    <w:p w14:paraId="2BCD5B39">
      <w:pPr>
        <w:pStyle w:val="41"/>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2.2有效期</w:t>
      </w:r>
    </w:p>
    <w:p w14:paraId="393F7235">
      <w:pPr>
        <w:spacing w:line="360" w:lineRule="auto"/>
        <w:ind w:firstLine="540" w:firstLineChars="225"/>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2.2.1有效期：自响应文件递交截止之日起，</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0日历天</w:t>
      </w:r>
    </w:p>
    <w:p w14:paraId="23DC71A5">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2.2.2在有效期内，申请人不得要求撤销或修改其响应文件。</w:t>
      </w:r>
    </w:p>
    <w:p w14:paraId="73D726CD">
      <w:pPr>
        <w:spacing w:line="360" w:lineRule="auto"/>
        <w:ind w:firstLine="540" w:firstLineChars="225"/>
        <w:jc w:val="both"/>
        <w:rPr>
          <w:rFonts w:hint="eastAsia" w:ascii="宋体" w:hAnsi="宋体" w:eastAsia="宋体" w:cs="宋体"/>
          <w:color w:val="auto"/>
          <w:highlight w:val="none"/>
        </w:rPr>
      </w:pPr>
      <w:r>
        <w:rPr>
          <w:rFonts w:hint="eastAsia" w:ascii="宋体" w:hAnsi="宋体" w:eastAsia="宋体" w:cs="宋体"/>
          <w:color w:val="auto"/>
          <w:sz w:val="24"/>
          <w:szCs w:val="24"/>
          <w:highlight w:val="none"/>
        </w:rPr>
        <w:t>2.2.3出现特殊情况需要延长有效期的，采购人以书面形式通知申请人延长有效期。申请人同意延长的，不得要求或被允许修改或撤销其响应文件；申请人拒绝延长的，其响应文件失效。</w:t>
      </w:r>
    </w:p>
    <w:p w14:paraId="771380BA">
      <w:pPr>
        <w:pStyle w:val="41"/>
        <w:spacing w:line="360" w:lineRule="auto"/>
        <w:rPr>
          <w:rFonts w:hint="eastAsia" w:ascii="宋体" w:hAnsi="宋体" w:eastAsia="宋体" w:cs="宋体"/>
          <w:color w:val="auto"/>
          <w:kern w:val="0"/>
          <w:sz w:val="28"/>
          <w:szCs w:val="28"/>
          <w:highlight w:val="none"/>
        </w:rPr>
      </w:pPr>
      <w:bookmarkStart w:id="95" w:name="_Toc28747"/>
      <w:bookmarkStart w:id="96" w:name="_Toc18396"/>
      <w:r>
        <w:rPr>
          <w:rFonts w:hint="eastAsia" w:ascii="宋体" w:hAnsi="宋体" w:eastAsia="宋体" w:cs="宋体"/>
          <w:color w:val="auto"/>
          <w:kern w:val="0"/>
          <w:sz w:val="28"/>
          <w:szCs w:val="28"/>
          <w:highlight w:val="none"/>
        </w:rPr>
        <w:t>2.3响应文件的编制</w:t>
      </w:r>
      <w:bookmarkEnd w:id="95"/>
      <w:bookmarkEnd w:id="96"/>
    </w:p>
    <w:p w14:paraId="5913C60C">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2.3.1申请人应当按照询价文件的要求编制响应文件，并对其提交的响应文件的真实性、合法性承担法律责任。</w:t>
      </w:r>
    </w:p>
    <w:p w14:paraId="7E0D1FAA">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2.3.2响应文件应按询价文件第</w:t>
      </w: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章“响应文件格式”部分的要求，由申请人的法定代表人（合伙人）或其委托代理人签字或盖章，并加盖单位公章。没有按询价文件要求签字或盖章的响应文件将被拒绝。</w:t>
      </w:r>
    </w:p>
    <w:p w14:paraId="099691C0">
      <w:pPr>
        <w:pStyle w:val="10"/>
        <w:spacing w:after="0" w:line="360" w:lineRule="auto"/>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highlight w:val="none"/>
        </w:rPr>
        <w:t>2.3.3由委托代理人签字或盖章的，响应文件中应附有法定代表人（合伙人）的授权委托书，其授权委托书必须由法定代表人（合伙人）及委托代理人签字。</w:t>
      </w:r>
    </w:p>
    <w:p w14:paraId="378D9C2E">
      <w:pPr>
        <w:pStyle w:val="41"/>
        <w:spacing w:line="360" w:lineRule="auto"/>
        <w:rPr>
          <w:rFonts w:hint="eastAsia" w:ascii="宋体" w:hAnsi="宋体" w:eastAsia="宋体" w:cs="宋体"/>
          <w:color w:val="auto"/>
          <w:kern w:val="0"/>
          <w:sz w:val="28"/>
          <w:szCs w:val="28"/>
          <w:highlight w:val="none"/>
        </w:rPr>
      </w:pPr>
      <w:bookmarkStart w:id="97" w:name="_Toc15344"/>
      <w:bookmarkStart w:id="98" w:name="_Toc11128"/>
      <w:r>
        <w:rPr>
          <w:rFonts w:hint="eastAsia" w:ascii="宋体" w:hAnsi="宋体" w:eastAsia="宋体" w:cs="宋体"/>
          <w:color w:val="auto"/>
          <w:kern w:val="0"/>
          <w:sz w:val="28"/>
          <w:szCs w:val="28"/>
          <w:highlight w:val="none"/>
        </w:rPr>
        <w:t>2.4响应文件的份数</w:t>
      </w:r>
      <w:bookmarkEnd w:id="97"/>
      <w:bookmarkEnd w:id="98"/>
    </w:p>
    <w:p w14:paraId="40887AC8">
      <w:pPr>
        <w:spacing w:line="360" w:lineRule="auto"/>
        <w:ind w:firstLine="480" w:firstLineChars="200"/>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2.4.1纸质版响应文件：</w:t>
      </w:r>
      <w:r>
        <w:rPr>
          <w:rFonts w:hint="eastAsia" w:ascii="宋体" w:hAnsi="宋体" w:eastAsia="宋体" w:cs="宋体"/>
          <w:color w:val="auto"/>
          <w:sz w:val="24"/>
          <w:szCs w:val="24"/>
          <w:highlight w:val="none"/>
          <w:u w:val="single"/>
        </w:rPr>
        <w:t>一份</w:t>
      </w:r>
      <w:r>
        <w:rPr>
          <w:rFonts w:hint="eastAsia" w:ascii="宋体" w:hAnsi="宋体" w:eastAsia="宋体" w:cs="宋体"/>
          <w:color w:val="auto"/>
          <w:sz w:val="24"/>
          <w:szCs w:val="24"/>
          <w:highlight w:val="none"/>
        </w:rPr>
        <w:t>正本，</w:t>
      </w:r>
      <w:r>
        <w:rPr>
          <w:rFonts w:hint="eastAsia" w:ascii="宋体" w:hAnsi="宋体" w:eastAsia="宋体" w:cs="宋体"/>
          <w:color w:val="auto"/>
          <w:sz w:val="24"/>
          <w:szCs w:val="24"/>
          <w:highlight w:val="none"/>
          <w:u w:val="single"/>
        </w:rPr>
        <w:t>一份</w:t>
      </w:r>
      <w:r>
        <w:rPr>
          <w:rFonts w:hint="eastAsia" w:ascii="宋体" w:hAnsi="宋体" w:eastAsia="宋体" w:cs="宋体"/>
          <w:color w:val="auto"/>
          <w:sz w:val="24"/>
          <w:szCs w:val="24"/>
          <w:highlight w:val="none"/>
        </w:rPr>
        <w:t>副本。响应文件正本和副本的封面上应清楚地标记“正本”或“副本”的字样。当副本和正本不一致时，以正本为准。</w:t>
      </w:r>
    </w:p>
    <w:p w14:paraId="68F37888">
      <w:pPr>
        <w:pStyle w:val="1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2.4.2电子版响应文件：</w:t>
      </w:r>
      <w:r>
        <w:rPr>
          <w:rFonts w:hint="eastAsia" w:ascii="宋体" w:hAnsi="宋体" w:eastAsia="宋体" w:cs="宋体"/>
          <w:color w:val="auto"/>
          <w:sz w:val="24"/>
          <w:highlight w:val="none"/>
          <w:u w:val="single"/>
        </w:rPr>
        <w:t xml:space="preserve">  U盘或光盘1份  </w:t>
      </w:r>
      <w:r>
        <w:rPr>
          <w:rFonts w:hint="eastAsia" w:ascii="宋体" w:hAnsi="宋体" w:eastAsia="宋体" w:cs="宋体"/>
          <w:color w:val="auto"/>
          <w:sz w:val="24"/>
          <w:highlight w:val="none"/>
        </w:rPr>
        <w:t>。</w:t>
      </w:r>
    </w:p>
    <w:p w14:paraId="7F5DC824">
      <w:pPr>
        <w:pStyle w:val="41"/>
        <w:spacing w:line="360" w:lineRule="auto"/>
        <w:rPr>
          <w:rFonts w:hint="eastAsia" w:ascii="宋体" w:hAnsi="宋体" w:eastAsia="宋体" w:cs="宋体"/>
          <w:color w:val="auto"/>
          <w:kern w:val="0"/>
          <w:sz w:val="28"/>
          <w:szCs w:val="28"/>
          <w:highlight w:val="none"/>
        </w:rPr>
      </w:pPr>
      <w:bookmarkStart w:id="99" w:name="_Toc29284"/>
      <w:bookmarkStart w:id="100" w:name="_Toc5769"/>
      <w:r>
        <w:rPr>
          <w:rFonts w:hint="eastAsia" w:ascii="宋体" w:hAnsi="宋体" w:eastAsia="宋体" w:cs="宋体"/>
          <w:color w:val="auto"/>
          <w:kern w:val="0"/>
          <w:sz w:val="28"/>
          <w:szCs w:val="28"/>
          <w:highlight w:val="none"/>
        </w:rPr>
        <w:t>2.5装订及密封要求</w:t>
      </w:r>
      <w:bookmarkEnd w:id="99"/>
      <w:bookmarkEnd w:id="100"/>
    </w:p>
    <w:p w14:paraId="1C29F91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2.5.1响应文件的正本与副本应分别装订成册，并编制目录，不得采用活页夹等可随时拆换的方式装订。采购人对由于响应文件装订松散而造成的丢失或其他后果不承担任何责任。</w:t>
      </w:r>
    </w:p>
    <w:p w14:paraId="1225929B">
      <w:pPr>
        <w:widowControl w:val="0"/>
        <w:spacing w:line="360" w:lineRule="auto"/>
        <w:ind w:firstLine="480" w:firstLineChars="200"/>
        <w:jc w:val="both"/>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2.5.2响应文件的正本、副本与电子文档应统一包装在同一密封袋内，</w:t>
      </w:r>
      <w:r>
        <w:rPr>
          <w:rFonts w:hint="eastAsia" w:ascii="宋体" w:hAnsi="宋体" w:eastAsia="宋体" w:cs="宋体"/>
          <w:b/>
          <w:bCs/>
          <w:color w:val="auto"/>
          <w:sz w:val="24"/>
          <w:szCs w:val="24"/>
          <w:highlight w:val="none"/>
        </w:rPr>
        <w:t>申请人在封套的封口处加盖申请人单位公章或密封章，外层封套上写明：</w:t>
      </w:r>
    </w:p>
    <w:p w14:paraId="2A9CE150">
      <w:pPr>
        <w:widowControl w:val="0"/>
        <w:spacing w:line="360" w:lineRule="auto"/>
        <w:ind w:firstLine="482" w:firstLineChars="20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项目响应文件</w:t>
      </w:r>
    </w:p>
    <w:p w14:paraId="4EC6AAF3">
      <w:pPr>
        <w:widowControl w:val="0"/>
        <w:spacing w:line="360" w:lineRule="auto"/>
        <w:ind w:firstLine="482" w:firstLineChars="20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（2）申请人单位名称（盖章）</w:t>
      </w:r>
    </w:p>
    <w:p w14:paraId="3FDFE613">
      <w:pPr>
        <w:widowControl w:val="0"/>
        <w:spacing w:line="360" w:lineRule="auto"/>
        <w:ind w:firstLine="482" w:firstLineChars="20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（3）申请人地址</w:t>
      </w:r>
    </w:p>
    <w:p w14:paraId="2B73914F">
      <w:pPr>
        <w:widowControl w:val="0"/>
        <w:spacing w:line="360" w:lineRule="auto"/>
        <w:ind w:firstLine="482" w:firstLineChars="20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（4）在    年 月 日 时 分前不得开启</w:t>
      </w:r>
    </w:p>
    <w:p w14:paraId="7E11DA68">
      <w:pPr>
        <w:pStyle w:val="10"/>
        <w:spacing w:after="0"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如果响应文件没有按要求加写标记及密封，采购人不予受理。</w:t>
      </w:r>
    </w:p>
    <w:p w14:paraId="04A10ADA">
      <w:pPr>
        <w:pStyle w:val="41"/>
        <w:spacing w:line="360" w:lineRule="auto"/>
        <w:rPr>
          <w:rFonts w:hint="eastAsia" w:ascii="宋体" w:hAnsi="宋体" w:eastAsia="宋体" w:cs="宋体"/>
          <w:color w:val="auto"/>
          <w:kern w:val="0"/>
          <w:sz w:val="28"/>
          <w:szCs w:val="28"/>
          <w:highlight w:val="none"/>
        </w:rPr>
      </w:pPr>
      <w:bookmarkStart w:id="101" w:name="_Toc13551"/>
      <w:bookmarkStart w:id="102" w:name="_Toc13112"/>
      <w:r>
        <w:rPr>
          <w:rFonts w:hint="eastAsia" w:ascii="宋体" w:hAnsi="宋体" w:eastAsia="宋体" w:cs="宋体"/>
          <w:color w:val="auto"/>
          <w:kern w:val="0"/>
          <w:sz w:val="28"/>
          <w:szCs w:val="28"/>
          <w:highlight w:val="none"/>
        </w:rPr>
        <w:t>2.6响应文件的修改与撤回</w:t>
      </w:r>
      <w:bookmarkEnd w:id="101"/>
      <w:bookmarkEnd w:id="102"/>
    </w:p>
    <w:p w14:paraId="3671BE2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2.6.1申请人在提交响应文件截止时间前，可以对所提交的响应文件进行补充、修改或者撤回，并书面通知采购人。补充、修改的内容作为响应文件的组成部分。补充、修改的内容与响应文件不一致的，以补充、修改的内容为准。</w:t>
      </w:r>
    </w:p>
    <w:p w14:paraId="6D315DFC">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2.6.2修改的响应文件应按照询价文件的要求进行编制、密封、标记和递交，并标明“修改”字样。</w:t>
      </w:r>
    </w:p>
    <w:p w14:paraId="1F116CA7">
      <w:pPr>
        <w:pStyle w:val="3"/>
        <w:spacing w:before="0" w:after="0" w:line="360" w:lineRule="auto"/>
        <w:jc w:val="center"/>
        <w:rPr>
          <w:rFonts w:hint="eastAsia" w:ascii="宋体" w:hAnsi="宋体" w:eastAsia="宋体" w:cs="宋体"/>
          <w:b w:val="0"/>
          <w:bCs w:val="0"/>
          <w:color w:val="auto"/>
          <w:highlight w:val="none"/>
        </w:rPr>
      </w:pPr>
      <w:bookmarkStart w:id="103" w:name="_Toc432792971"/>
      <w:bookmarkStart w:id="104" w:name="_Toc16130"/>
      <w:bookmarkStart w:id="105" w:name="_Toc5913"/>
      <w:bookmarkStart w:id="106" w:name="_Toc13111"/>
      <w:bookmarkStart w:id="107" w:name="_Toc25259"/>
      <w:r>
        <w:rPr>
          <w:rFonts w:hint="eastAsia" w:ascii="宋体" w:hAnsi="宋体" w:eastAsia="宋体" w:cs="宋体"/>
          <w:b w:val="0"/>
          <w:bCs w:val="0"/>
          <w:color w:val="auto"/>
          <w:highlight w:val="none"/>
        </w:rPr>
        <w:t>3.询价</w:t>
      </w:r>
      <w:bookmarkEnd w:id="103"/>
      <w:r>
        <w:rPr>
          <w:rFonts w:hint="eastAsia" w:ascii="宋体" w:hAnsi="宋体" w:eastAsia="宋体" w:cs="宋体"/>
          <w:b w:val="0"/>
          <w:bCs w:val="0"/>
          <w:color w:val="auto"/>
          <w:highlight w:val="none"/>
        </w:rPr>
        <w:t>评审</w:t>
      </w:r>
      <w:bookmarkEnd w:id="104"/>
      <w:bookmarkEnd w:id="105"/>
      <w:bookmarkEnd w:id="106"/>
      <w:bookmarkEnd w:id="107"/>
    </w:p>
    <w:p w14:paraId="5A39AF9C">
      <w:pPr>
        <w:pStyle w:val="41"/>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3.1询价小组和监督小组</w:t>
      </w:r>
    </w:p>
    <w:p w14:paraId="06FC67B0">
      <w:pPr>
        <w:pStyle w:val="10"/>
        <w:spacing w:after="0" w:line="360" w:lineRule="auto"/>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3.1.1询价小组：</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人以上（含</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人）的单数组成</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由采购人在专家库中随机抽取</w:t>
      </w:r>
      <w:r>
        <w:rPr>
          <w:rFonts w:hint="eastAsia" w:ascii="宋体" w:hAnsi="宋体" w:eastAsia="宋体" w:cs="宋体"/>
          <w:color w:val="auto"/>
          <w:sz w:val="24"/>
          <w:highlight w:val="none"/>
        </w:rPr>
        <w:t>。</w:t>
      </w:r>
    </w:p>
    <w:p w14:paraId="13ABAAF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3.1.2询价小组成员有下列情形之一的，应当回避：</w:t>
      </w:r>
    </w:p>
    <w:p w14:paraId="5DEEB994">
      <w:pPr>
        <w:widowControl w:val="0"/>
        <w:autoSpaceDE w:val="0"/>
        <w:autoSpaceDN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（1）采购人或申请人的主要负责人的近亲属；</w:t>
      </w:r>
    </w:p>
    <w:p w14:paraId="2BE141F7">
      <w:pPr>
        <w:widowControl w:val="0"/>
        <w:autoSpaceDE w:val="0"/>
        <w:autoSpaceDN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（2）项目主管部门或者行政监督部门的人员；</w:t>
      </w:r>
    </w:p>
    <w:p w14:paraId="79106213">
      <w:pPr>
        <w:widowControl w:val="0"/>
        <w:autoSpaceDE w:val="0"/>
        <w:autoSpaceDN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（3）与申请人有经济利益关系，可能影响对投标公正评审的；</w:t>
      </w:r>
    </w:p>
    <w:p w14:paraId="4923653F">
      <w:pPr>
        <w:widowControl w:val="0"/>
        <w:autoSpaceDE w:val="0"/>
        <w:autoSpaceDN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（4）曾因在</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、评标以及其他与</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投标有关活动中从事违法行为而受过行政处罚或刑事处罚的。</w:t>
      </w:r>
    </w:p>
    <w:p w14:paraId="3AB04464">
      <w:pPr>
        <w:widowControl w:val="0"/>
        <w:autoSpaceDE w:val="0"/>
        <w:autoSpaceDN w:val="0"/>
        <w:adjustRightInd w:val="0"/>
        <w:snapToGrid w:val="0"/>
        <w:spacing w:line="360" w:lineRule="auto"/>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4"/>
          <w:highlight w:val="none"/>
        </w:rPr>
        <w:t>3.1.3询价小组成员以及与评审工作有关的人员不得泄露评审情况以及评审过程中获悉的国家秘密、商业秘密。</w:t>
      </w:r>
    </w:p>
    <w:p w14:paraId="3688D72C">
      <w:pPr>
        <w:pStyle w:val="41"/>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3.2评审原则</w:t>
      </w:r>
    </w:p>
    <w:p w14:paraId="2C7341DD">
      <w:pPr>
        <w:pStyle w:val="1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评审活动遵循公平、公正、科学和择优的原则。</w:t>
      </w:r>
    </w:p>
    <w:p w14:paraId="0B9D2FAF">
      <w:pPr>
        <w:pStyle w:val="10"/>
        <w:spacing w:after="0"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8"/>
          <w:szCs w:val="28"/>
          <w:highlight w:val="none"/>
        </w:rPr>
        <w:t>3.3评审办法：</w:t>
      </w:r>
      <w:r>
        <w:rPr>
          <w:rFonts w:hint="eastAsia" w:ascii="宋体" w:hAnsi="宋体" w:eastAsia="宋体" w:cs="宋体"/>
          <w:b/>
          <w:bCs/>
          <w:color w:val="auto"/>
          <w:sz w:val="24"/>
          <w:highlight w:val="none"/>
          <w:lang w:val="en-US" w:eastAsia="zh-CN"/>
        </w:rPr>
        <w:t>最低评标价法</w:t>
      </w:r>
      <w:r>
        <w:rPr>
          <w:rFonts w:hint="eastAsia" w:ascii="宋体" w:hAnsi="宋体" w:eastAsia="宋体" w:cs="宋体"/>
          <w:b/>
          <w:bCs/>
          <w:color w:val="auto"/>
          <w:sz w:val="24"/>
          <w:highlight w:val="none"/>
        </w:rPr>
        <w:t>，</w:t>
      </w:r>
      <w:r>
        <w:rPr>
          <w:rFonts w:hint="eastAsia" w:ascii="宋体" w:hAnsi="宋体" w:eastAsia="宋体" w:cs="宋体"/>
          <w:b/>
          <w:bCs/>
          <w:color w:val="auto"/>
          <w:sz w:val="24"/>
          <w:highlight w:val="none"/>
          <w:lang w:val="en-US" w:eastAsia="zh-CN"/>
        </w:rPr>
        <w:t>即询价小组应当从质量和服务均能满足采购文件实质性响应要求的供应商中，按照</w:t>
      </w:r>
      <w:r>
        <w:rPr>
          <w:rFonts w:hint="eastAsia" w:ascii="宋体" w:hAnsi="宋体" w:cs="宋体"/>
          <w:b/>
          <w:bCs/>
          <w:color w:val="auto"/>
          <w:sz w:val="24"/>
          <w:highlight w:val="none"/>
          <w:lang w:val="en-US" w:eastAsia="zh-CN"/>
        </w:rPr>
        <w:t>服务</w:t>
      </w:r>
      <w:r>
        <w:rPr>
          <w:rFonts w:hint="eastAsia" w:ascii="宋体" w:hAnsi="宋体" w:eastAsia="宋体" w:cs="宋体"/>
          <w:b/>
          <w:bCs/>
          <w:color w:val="auto"/>
          <w:sz w:val="24"/>
          <w:highlight w:val="none"/>
          <w:lang w:val="en-US" w:eastAsia="zh-CN"/>
        </w:rPr>
        <w:t>报价由低到高的顺序确认3名成交候选人。</w:t>
      </w:r>
    </w:p>
    <w:p w14:paraId="759A86A7">
      <w:pPr>
        <w:pStyle w:val="3"/>
        <w:spacing w:before="0" w:after="0" w:line="360" w:lineRule="auto"/>
        <w:jc w:val="center"/>
        <w:rPr>
          <w:rFonts w:hint="eastAsia" w:ascii="宋体" w:hAnsi="宋体" w:eastAsia="宋体" w:cs="宋体"/>
          <w:b w:val="0"/>
          <w:bCs w:val="0"/>
          <w:color w:val="auto"/>
          <w:highlight w:val="none"/>
        </w:rPr>
      </w:pPr>
      <w:bookmarkStart w:id="108" w:name="_Toc16135"/>
      <w:bookmarkStart w:id="109" w:name="_Toc432792972"/>
      <w:bookmarkStart w:id="110" w:name="_Toc22862"/>
      <w:bookmarkStart w:id="111" w:name="_Toc8375"/>
      <w:bookmarkStart w:id="112" w:name="_Toc18894"/>
      <w:r>
        <w:rPr>
          <w:rFonts w:hint="eastAsia" w:ascii="宋体" w:hAnsi="宋体" w:eastAsia="宋体" w:cs="宋体"/>
          <w:b w:val="0"/>
          <w:bCs w:val="0"/>
          <w:color w:val="auto"/>
          <w:highlight w:val="none"/>
        </w:rPr>
        <w:t>4.合同授予</w:t>
      </w:r>
      <w:bookmarkEnd w:id="108"/>
      <w:bookmarkEnd w:id="109"/>
      <w:bookmarkEnd w:id="110"/>
      <w:bookmarkEnd w:id="111"/>
      <w:bookmarkEnd w:id="112"/>
    </w:p>
    <w:p w14:paraId="514A5E60">
      <w:pPr>
        <w:pStyle w:val="41"/>
        <w:spacing w:line="360" w:lineRule="auto"/>
        <w:rPr>
          <w:rFonts w:hint="eastAsia" w:ascii="宋体" w:hAnsi="宋体" w:eastAsia="宋体" w:cs="宋体"/>
          <w:color w:val="auto"/>
          <w:kern w:val="0"/>
          <w:sz w:val="28"/>
          <w:szCs w:val="28"/>
          <w:highlight w:val="none"/>
        </w:rPr>
      </w:pPr>
      <w:bookmarkStart w:id="113" w:name="_Toc375869241"/>
      <w:bookmarkStart w:id="114" w:name="_Toc491932305"/>
      <w:bookmarkStart w:id="115" w:name="_Toc37421486"/>
      <w:r>
        <w:rPr>
          <w:rFonts w:hint="eastAsia" w:ascii="宋体" w:hAnsi="宋体" w:eastAsia="宋体" w:cs="宋体"/>
          <w:color w:val="auto"/>
          <w:kern w:val="0"/>
          <w:sz w:val="28"/>
          <w:szCs w:val="28"/>
          <w:highlight w:val="none"/>
        </w:rPr>
        <w:t>4.1定标方式</w:t>
      </w:r>
      <w:bookmarkEnd w:id="113"/>
    </w:p>
    <w:bookmarkEnd w:id="114"/>
    <w:bookmarkEnd w:id="115"/>
    <w:p w14:paraId="67A49A61">
      <w:pPr>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sz w:val="24"/>
          <w:szCs w:val="24"/>
          <w:highlight w:val="none"/>
        </w:rPr>
        <w:t>4.1.1</w:t>
      </w:r>
      <w:r>
        <w:rPr>
          <w:rFonts w:hint="eastAsia" w:ascii="宋体" w:hAnsi="宋体" w:eastAsia="宋体" w:cs="宋体"/>
          <w:color w:val="auto"/>
          <w:sz w:val="24"/>
          <w:szCs w:val="24"/>
          <w:highlight w:val="none"/>
          <w:lang w:val="en-US" w:eastAsia="zh-CN"/>
        </w:rPr>
        <w:t>采购人将按照询价小组推荐的候选人名单，确认排名第一的成交候选人作为本项目的成交供应商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若出现第一候选人放弃成交或不能履行合同或被查实存在影响成交结果的违法行为，采购人可以根据候选人推荐顺序依次确定其他成交候选人为成交人，也可以重新采购。</w:t>
      </w:r>
    </w:p>
    <w:p w14:paraId="21A7B341">
      <w:pPr>
        <w:pStyle w:val="41"/>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4.2成交通知</w:t>
      </w:r>
    </w:p>
    <w:p w14:paraId="6188A8A6">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成交人确定后，采购人以书面形式向成交人发出成交通知书。</w:t>
      </w:r>
    </w:p>
    <w:p w14:paraId="33FB260B">
      <w:pPr>
        <w:pStyle w:val="41"/>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4.3履约担保</w:t>
      </w:r>
    </w:p>
    <w:p w14:paraId="51EDB962">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4.3.1在签订合同前，成交人应按询价文件规定的金额、担保形式向采购人提交履约担保。</w:t>
      </w:r>
    </w:p>
    <w:p w14:paraId="719018F0">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4.3.2成交人不能按询价文件提交履约担保的，视为放弃成交，给采购人造成的损失的，成交人应当予以赔偿。</w:t>
      </w:r>
    </w:p>
    <w:p w14:paraId="53938527">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4.4签订合同</w:t>
      </w:r>
    </w:p>
    <w:p w14:paraId="4F66CB7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和成交人应当自成交通知书发出之日起30天内，根据询价文件、成交人的响应文件、成交通知书订立书面合同。成交人无正当理由拒签合同的，采购人取消其成交资格，成交人应对给采购人造成的损失予以赔偿。</w:t>
      </w:r>
    </w:p>
    <w:p w14:paraId="0B2E3D1C">
      <w:pPr>
        <w:pStyle w:val="3"/>
        <w:spacing w:before="0" w:after="0" w:line="360" w:lineRule="auto"/>
        <w:jc w:val="center"/>
        <w:rPr>
          <w:rFonts w:hint="eastAsia" w:ascii="宋体" w:hAnsi="宋体" w:eastAsia="宋体" w:cs="宋体"/>
          <w:b w:val="0"/>
          <w:bCs w:val="0"/>
          <w:color w:val="auto"/>
          <w:highlight w:val="none"/>
        </w:rPr>
      </w:pPr>
      <w:bookmarkStart w:id="116" w:name="_Toc31484"/>
      <w:bookmarkStart w:id="117" w:name="_Toc9858"/>
      <w:bookmarkStart w:id="118" w:name="_Toc20909"/>
      <w:bookmarkStart w:id="119" w:name="_Toc31925"/>
      <w:bookmarkStart w:id="120" w:name="_Toc432792973"/>
      <w:r>
        <w:rPr>
          <w:rFonts w:hint="eastAsia" w:ascii="宋体" w:hAnsi="宋体" w:eastAsia="宋体" w:cs="宋体"/>
          <w:b w:val="0"/>
          <w:bCs w:val="0"/>
          <w:color w:val="auto"/>
          <w:highlight w:val="none"/>
        </w:rPr>
        <w:t>5.重新采购</w:t>
      </w:r>
      <w:bookmarkEnd w:id="116"/>
      <w:bookmarkEnd w:id="117"/>
      <w:bookmarkEnd w:id="118"/>
    </w:p>
    <w:p w14:paraId="4D3AC050">
      <w:pPr>
        <w:pStyle w:val="6"/>
        <w:spacing w:before="0" w:after="0" w:line="360" w:lineRule="auto"/>
        <w:rPr>
          <w:rFonts w:hint="eastAsia" w:ascii="宋体" w:hAnsi="宋体" w:eastAsia="宋体" w:cs="宋体"/>
          <w:b w:val="0"/>
          <w:bCs w:val="0"/>
          <w:color w:val="auto"/>
          <w:highlight w:val="none"/>
        </w:rPr>
      </w:pPr>
      <w:bookmarkStart w:id="121" w:name="_Toc37165049"/>
      <w:bookmarkStart w:id="122" w:name="_Toc277672056"/>
      <w:bookmarkStart w:id="123" w:name="_Toc318286287"/>
      <w:bookmarkStart w:id="124" w:name="_Toc308686376"/>
      <w:bookmarkStart w:id="125" w:name="_Toc327888089"/>
      <w:bookmarkStart w:id="126" w:name="_Toc381781276"/>
      <w:r>
        <w:rPr>
          <w:rFonts w:hint="eastAsia" w:ascii="宋体" w:hAnsi="宋体" w:eastAsia="宋体" w:cs="宋体"/>
          <w:b w:val="0"/>
          <w:bCs w:val="0"/>
          <w:color w:val="auto"/>
          <w:highlight w:val="none"/>
        </w:rPr>
        <w:t>5.1有下列情形之一的，采购人将重新采购：</w:t>
      </w:r>
      <w:bookmarkEnd w:id="121"/>
    </w:p>
    <w:p w14:paraId="6B59E00C">
      <w:pPr>
        <w:widowControl w:val="0"/>
        <w:autoSpaceDE w:val="0"/>
        <w:autoSpaceDN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（1）至</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文件获取截止时间止，获取</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 xml:space="preserve">少于3家的； </w:t>
      </w:r>
    </w:p>
    <w:p w14:paraId="68CCDDFA">
      <w:pPr>
        <w:widowControl w:val="0"/>
        <w:autoSpaceDE w:val="0"/>
        <w:autoSpaceDN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（2）至投标截止时间止，递交</w:t>
      </w:r>
      <w:r>
        <w:rPr>
          <w:rFonts w:hint="eastAsia" w:ascii="宋体" w:hAnsi="宋体" w:cs="宋体"/>
          <w:color w:val="auto"/>
          <w:sz w:val="24"/>
          <w:szCs w:val="24"/>
          <w:highlight w:val="none"/>
          <w:lang w:eastAsia="zh-CN"/>
        </w:rPr>
        <w:t>询价响应文件</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 xml:space="preserve">少于3家的； </w:t>
      </w:r>
      <w:bookmarkEnd w:id="122"/>
      <w:bookmarkEnd w:id="123"/>
      <w:bookmarkEnd w:id="124"/>
      <w:bookmarkEnd w:id="125"/>
      <w:bookmarkEnd w:id="126"/>
    </w:p>
    <w:bookmarkEnd w:id="119"/>
    <w:bookmarkEnd w:id="120"/>
    <w:p w14:paraId="0F6F1C01">
      <w:pPr>
        <w:pStyle w:val="4"/>
        <w:spacing w:before="0" w:after="0" w:line="360" w:lineRule="auto"/>
        <w:jc w:val="center"/>
        <w:rPr>
          <w:rFonts w:hint="eastAsia" w:ascii="宋体" w:hAnsi="宋体" w:eastAsia="宋体" w:cs="宋体"/>
          <w:b w:val="0"/>
          <w:bCs w:val="0"/>
          <w:color w:val="auto"/>
          <w:highlight w:val="none"/>
        </w:rPr>
      </w:pPr>
      <w:bookmarkStart w:id="127" w:name="_Toc29160"/>
      <w:r>
        <w:rPr>
          <w:rFonts w:hint="eastAsia" w:ascii="宋体" w:hAnsi="宋体" w:eastAsia="宋体" w:cs="宋体"/>
          <w:b w:val="0"/>
          <w:bCs w:val="0"/>
          <w:color w:val="auto"/>
          <w:highlight w:val="none"/>
        </w:rPr>
        <w:t>6.纪律和监督</w:t>
      </w:r>
    </w:p>
    <w:p w14:paraId="673A502B">
      <w:pPr>
        <w:keepNext/>
        <w:keepLines/>
        <w:spacing w:line="360" w:lineRule="auto"/>
        <w:outlineLvl w:val="3"/>
        <w:rPr>
          <w:rFonts w:hint="eastAsia" w:ascii="宋体" w:hAnsi="宋体" w:eastAsia="宋体" w:cs="宋体"/>
          <w:color w:val="auto"/>
          <w:sz w:val="28"/>
          <w:szCs w:val="28"/>
          <w:highlight w:val="none"/>
        </w:rPr>
      </w:pPr>
      <w:bookmarkStart w:id="128" w:name="_Toc375869248"/>
      <w:r>
        <w:rPr>
          <w:rFonts w:hint="eastAsia" w:ascii="宋体" w:hAnsi="宋体" w:eastAsia="宋体" w:cs="宋体"/>
          <w:color w:val="auto"/>
          <w:sz w:val="28"/>
          <w:szCs w:val="28"/>
          <w:highlight w:val="none"/>
        </w:rPr>
        <w:t>6.1对采购人的纪律要求</w:t>
      </w:r>
      <w:bookmarkEnd w:id="128"/>
    </w:p>
    <w:p w14:paraId="4E342805">
      <w:pPr>
        <w:widowControl w:val="0"/>
        <w:autoSpaceDE w:val="0"/>
        <w:autoSpaceDN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采购人不得泄漏询价活动中应当保密的情况和资料，不得与申请人串通损害国家利益、社会公共利益或者他人合法权益。</w:t>
      </w:r>
    </w:p>
    <w:p w14:paraId="67172819">
      <w:pPr>
        <w:keepNext/>
        <w:keepLines/>
        <w:spacing w:line="360" w:lineRule="auto"/>
        <w:outlineLvl w:val="3"/>
        <w:rPr>
          <w:rFonts w:hint="eastAsia" w:ascii="宋体" w:hAnsi="宋体" w:eastAsia="宋体" w:cs="宋体"/>
          <w:color w:val="auto"/>
          <w:sz w:val="28"/>
          <w:szCs w:val="28"/>
          <w:highlight w:val="none"/>
        </w:rPr>
      </w:pPr>
      <w:bookmarkStart w:id="129" w:name="_Toc375869249"/>
      <w:r>
        <w:rPr>
          <w:rFonts w:hint="eastAsia" w:ascii="宋体" w:hAnsi="宋体" w:eastAsia="宋体" w:cs="宋体"/>
          <w:color w:val="auto"/>
          <w:sz w:val="28"/>
          <w:szCs w:val="28"/>
          <w:highlight w:val="none"/>
        </w:rPr>
        <w:t>6.2对申请人的纪律要求</w:t>
      </w:r>
      <w:bookmarkEnd w:id="129"/>
    </w:p>
    <w:p w14:paraId="1B5AB078">
      <w:pPr>
        <w:widowControl w:val="0"/>
        <w:autoSpaceDE w:val="0"/>
        <w:autoSpaceDN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申请人不得相互串通或者与采购人串通，不得向采购人或者询价小组成员行贿谋取成交，不得以他人名义参与询价或者以其他方式弄虚作假骗取成交；申请人不得以任何方式干扰、影响评审工作。</w:t>
      </w:r>
    </w:p>
    <w:p w14:paraId="1DC482E0">
      <w:pPr>
        <w:keepNext/>
        <w:keepLines/>
        <w:spacing w:line="360" w:lineRule="auto"/>
        <w:outlineLvl w:val="3"/>
        <w:rPr>
          <w:rFonts w:hint="eastAsia" w:ascii="宋体" w:hAnsi="宋体" w:eastAsia="宋体" w:cs="宋体"/>
          <w:color w:val="auto"/>
          <w:sz w:val="28"/>
          <w:szCs w:val="28"/>
          <w:highlight w:val="none"/>
        </w:rPr>
      </w:pPr>
      <w:bookmarkStart w:id="130" w:name="_Toc375869250"/>
      <w:r>
        <w:rPr>
          <w:rFonts w:hint="eastAsia" w:ascii="宋体" w:hAnsi="宋体" w:eastAsia="宋体" w:cs="宋体"/>
          <w:color w:val="auto"/>
          <w:sz w:val="28"/>
          <w:szCs w:val="28"/>
          <w:highlight w:val="none"/>
        </w:rPr>
        <w:t>6.3对询价小组成员的纪律要求</w:t>
      </w:r>
      <w:bookmarkEnd w:id="130"/>
    </w:p>
    <w:p w14:paraId="57AF5DD6">
      <w:pPr>
        <w:widowControl w:val="0"/>
        <w:autoSpaceDE w:val="0"/>
        <w:autoSpaceDN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询价小组成员不得收受他人的财物或者其他好处，不得向他人透漏对响应文件的评审和比较、成交候选人的推荐情况以及评审有关的其他情况。在评审活动中，询价小组成员不得擅离职守，影响评审程序正常进行，不得使用第三章“评审办法”没有规定的评审因素和标准进行评审。</w:t>
      </w:r>
    </w:p>
    <w:p w14:paraId="4C73BF7E">
      <w:pPr>
        <w:keepNext/>
        <w:keepLines/>
        <w:spacing w:line="360" w:lineRule="auto"/>
        <w:outlineLvl w:val="3"/>
        <w:rPr>
          <w:rFonts w:hint="eastAsia" w:ascii="宋体" w:hAnsi="宋体" w:eastAsia="宋体" w:cs="宋体"/>
          <w:color w:val="auto"/>
          <w:sz w:val="28"/>
          <w:szCs w:val="28"/>
          <w:highlight w:val="none"/>
        </w:rPr>
      </w:pPr>
      <w:bookmarkStart w:id="131" w:name="_Toc375869251"/>
      <w:r>
        <w:rPr>
          <w:rFonts w:hint="eastAsia" w:ascii="宋体" w:hAnsi="宋体" w:eastAsia="宋体" w:cs="宋体"/>
          <w:color w:val="auto"/>
          <w:sz w:val="28"/>
          <w:szCs w:val="28"/>
          <w:highlight w:val="none"/>
        </w:rPr>
        <w:t>6.4对与评审活动有关的工作人员的纪律要求</w:t>
      </w:r>
      <w:bookmarkEnd w:id="131"/>
    </w:p>
    <w:p w14:paraId="7E5672EB">
      <w:pPr>
        <w:widowControl w:val="0"/>
        <w:autoSpaceDE w:val="0"/>
        <w:autoSpaceDN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与评审活动有关的工作人员不得收受他人的财物或者其他好处，不得向他人透漏对响应文件的评审和比较、成交候选人的推荐情况以及评审有关的其他情况。在评审活动中，与评审活动有关的工作人员不得擅离职守，影响评审程序正常进行。</w:t>
      </w:r>
    </w:p>
    <w:p w14:paraId="257508B0">
      <w:pPr>
        <w:keepNext/>
        <w:keepLines/>
        <w:spacing w:line="360" w:lineRule="auto"/>
        <w:outlineLvl w:val="3"/>
        <w:rPr>
          <w:rFonts w:hint="eastAsia" w:ascii="宋体" w:hAnsi="宋体" w:eastAsia="宋体" w:cs="宋体"/>
          <w:color w:val="auto"/>
          <w:sz w:val="28"/>
          <w:szCs w:val="28"/>
          <w:highlight w:val="none"/>
        </w:rPr>
      </w:pPr>
      <w:bookmarkStart w:id="132" w:name="_Toc375869252"/>
      <w:r>
        <w:rPr>
          <w:rFonts w:hint="eastAsia" w:ascii="宋体" w:hAnsi="宋体" w:eastAsia="宋体" w:cs="宋体"/>
          <w:color w:val="auto"/>
          <w:sz w:val="28"/>
          <w:szCs w:val="28"/>
          <w:highlight w:val="none"/>
        </w:rPr>
        <w:t>6.5投诉</w:t>
      </w:r>
      <w:bookmarkEnd w:id="132"/>
    </w:p>
    <w:p w14:paraId="110AED6A">
      <w:pPr>
        <w:widowControl w:val="0"/>
        <w:autoSpaceDE w:val="0"/>
        <w:autoSpaceDN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申请人和其他利害关系人认为本次采购活动违反法律、法规和规章规定的，有权向有关行政监督部门投诉。</w:t>
      </w:r>
    </w:p>
    <w:p w14:paraId="48B43591">
      <w:pPr>
        <w:pStyle w:val="4"/>
        <w:spacing w:before="0" w:after="0" w:line="360" w:lineRule="auto"/>
        <w:jc w:val="center"/>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7.需要补充的其他内容</w:t>
      </w:r>
    </w:p>
    <w:p w14:paraId="7BD667FA">
      <w:pPr>
        <w:keepNext/>
        <w:keepLines/>
        <w:spacing w:line="360" w:lineRule="auto"/>
        <w:outlineLvl w:val="3"/>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7.1履约担保</w:t>
      </w:r>
    </w:p>
    <w:p w14:paraId="1863111C">
      <w:pPr>
        <w:pStyle w:val="10"/>
        <w:spacing w:after="0"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本项目无履约担保。</w:t>
      </w:r>
    </w:p>
    <w:p w14:paraId="230ED327">
      <w:pPr>
        <w:keepNext/>
        <w:keepLines/>
        <w:spacing w:line="360" w:lineRule="auto"/>
        <w:outlineLvl w:val="3"/>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7.2分包</w:t>
      </w:r>
    </w:p>
    <w:p w14:paraId="1E66F2E8">
      <w:pPr>
        <w:pStyle w:val="1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本项目不允许分包。</w:t>
      </w:r>
    </w:p>
    <w:p w14:paraId="5E05A076">
      <w:pPr>
        <w:keepNext/>
        <w:keepLines/>
        <w:spacing w:line="360" w:lineRule="auto"/>
        <w:outlineLvl w:val="3"/>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7.3现场踏勘</w:t>
      </w:r>
    </w:p>
    <w:p w14:paraId="4F5BB7BD">
      <w:pPr>
        <w:pStyle w:val="1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本项目采购人不组织现场踏勘，申请人自行前往现场踏勘，踏勘费用由申请人自理，除采购人的原因外，申请人自行负责在现场踏勘中所发生的人员伤亡和财产损失。</w:t>
      </w:r>
    </w:p>
    <w:p w14:paraId="75510073">
      <w:pPr>
        <w:keepNext/>
        <w:keepLines/>
        <w:spacing w:line="360" w:lineRule="auto"/>
        <w:outlineLvl w:val="3"/>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7.4费用承担</w:t>
      </w:r>
    </w:p>
    <w:p w14:paraId="6E9CDFF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7.4.1</w:t>
      </w:r>
      <w:r>
        <w:rPr>
          <w:rFonts w:hint="eastAsia" w:ascii="宋体" w:hAnsi="宋体" w:eastAsia="宋体" w:cs="宋体"/>
          <w:color w:val="auto"/>
          <w:sz w:val="24"/>
          <w:szCs w:val="24"/>
          <w:highlight w:val="none"/>
        </w:rPr>
        <w:t>申请人准备和参加询价采购活动发生的费用自理。</w:t>
      </w:r>
    </w:p>
    <w:p w14:paraId="0AB91B1D">
      <w:pPr>
        <w:pStyle w:val="8"/>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7.4.2代理服务费：</w:t>
      </w:r>
      <w:r>
        <w:rPr>
          <w:rFonts w:hint="eastAsia" w:hAnsi="宋体" w:eastAsia="宋体" w:cs="宋体"/>
          <w:color w:val="auto"/>
          <w:sz w:val="24"/>
          <w:szCs w:val="24"/>
          <w:highlight w:val="none"/>
          <w:lang w:val="en-US" w:eastAsia="zh-CN" w:bidi="ar-SA"/>
        </w:rPr>
        <w:t>本项目不收取代理服务费</w:t>
      </w:r>
      <w:r>
        <w:rPr>
          <w:rFonts w:hint="eastAsia" w:ascii="宋体" w:hAnsi="宋体" w:eastAsia="宋体" w:cs="宋体"/>
          <w:color w:val="auto"/>
          <w:sz w:val="24"/>
          <w:szCs w:val="24"/>
          <w:highlight w:val="none"/>
          <w:lang w:val="en-US" w:eastAsia="zh-CN" w:bidi="ar-SA"/>
        </w:rPr>
        <w:t>。</w:t>
      </w:r>
    </w:p>
    <w:p w14:paraId="11ADDE76">
      <w:pPr>
        <w:keepNext/>
        <w:keepLines/>
        <w:spacing w:line="360" w:lineRule="auto"/>
        <w:outlineLvl w:val="3"/>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7.5采购人是否退还响应文件</w:t>
      </w:r>
    </w:p>
    <w:p w14:paraId="5DABF4FB">
      <w:pPr>
        <w:pStyle w:val="10"/>
        <w:spacing w:after="0"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除本询价文件另有规定外，申请人所递交的响应文件不予退还</w:t>
      </w:r>
      <w:r>
        <w:rPr>
          <w:rFonts w:hint="eastAsia" w:ascii="宋体" w:hAnsi="宋体" w:eastAsia="宋体" w:cs="宋体"/>
          <w:color w:val="auto"/>
          <w:sz w:val="24"/>
          <w:highlight w:val="none"/>
          <w:lang w:eastAsia="zh-CN"/>
        </w:rPr>
        <w:t>。</w:t>
      </w:r>
    </w:p>
    <w:p w14:paraId="459BCC17">
      <w:pPr>
        <w:keepNext/>
        <w:keepLines/>
        <w:spacing w:line="360" w:lineRule="auto"/>
        <w:outlineLvl w:val="3"/>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7.</w:t>
      </w:r>
      <w:r>
        <w:rPr>
          <w:rFonts w:hint="eastAsia" w:ascii="宋体" w:hAnsi="宋体" w:eastAsia="宋体" w:cs="宋体"/>
          <w:color w:val="auto"/>
          <w:sz w:val="28"/>
          <w:szCs w:val="28"/>
          <w:highlight w:val="none"/>
          <w:lang w:val="en-US" w:eastAsia="zh-CN"/>
        </w:rPr>
        <w:t>6询价</w:t>
      </w:r>
      <w:r>
        <w:rPr>
          <w:rFonts w:hint="eastAsia" w:ascii="宋体" w:hAnsi="宋体" w:eastAsia="宋体" w:cs="宋体"/>
          <w:color w:val="auto"/>
          <w:sz w:val="28"/>
          <w:szCs w:val="28"/>
          <w:highlight w:val="none"/>
        </w:rPr>
        <w:t>现场须递交证件及资料</w:t>
      </w:r>
    </w:p>
    <w:p w14:paraId="2554178E">
      <w:pPr>
        <w:pStyle w:val="10"/>
        <w:spacing w:after="0"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若法定代表人（合伙人）参加</w:t>
      </w:r>
      <w:r>
        <w:rPr>
          <w:rFonts w:hint="eastAsia" w:ascii="宋体" w:hAnsi="宋体" w:eastAsia="宋体" w:cs="宋体"/>
          <w:b/>
          <w:bCs/>
          <w:color w:val="auto"/>
          <w:sz w:val="24"/>
          <w:highlight w:val="none"/>
          <w:lang w:val="en-US" w:eastAsia="zh-CN"/>
        </w:rPr>
        <w:t>询价</w:t>
      </w:r>
      <w:r>
        <w:rPr>
          <w:rFonts w:hint="eastAsia" w:ascii="宋体" w:hAnsi="宋体" w:eastAsia="宋体" w:cs="宋体"/>
          <w:b/>
          <w:bCs/>
          <w:color w:val="auto"/>
          <w:sz w:val="24"/>
          <w:highlight w:val="none"/>
        </w:rPr>
        <w:t>会议时，须提供：</w:t>
      </w:r>
    </w:p>
    <w:p w14:paraId="4F3DA36B">
      <w:pPr>
        <w:pStyle w:val="1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①法定代表人（合伙人）身份证明书（原件，不予退还）；②法定代表人（合伙人）身份证（原件）；</w:t>
      </w:r>
    </w:p>
    <w:p w14:paraId="667C125C">
      <w:pPr>
        <w:pStyle w:val="10"/>
        <w:spacing w:after="0"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若委托代理人参加</w:t>
      </w:r>
      <w:r>
        <w:rPr>
          <w:rFonts w:hint="eastAsia" w:ascii="宋体" w:hAnsi="宋体" w:eastAsia="宋体" w:cs="宋体"/>
          <w:b/>
          <w:bCs/>
          <w:color w:val="auto"/>
          <w:sz w:val="24"/>
          <w:highlight w:val="none"/>
          <w:lang w:val="en-US" w:eastAsia="zh-CN"/>
        </w:rPr>
        <w:t>询价</w:t>
      </w:r>
      <w:r>
        <w:rPr>
          <w:rFonts w:hint="eastAsia" w:ascii="宋体" w:hAnsi="宋体" w:eastAsia="宋体" w:cs="宋体"/>
          <w:b/>
          <w:bCs/>
          <w:color w:val="auto"/>
          <w:sz w:val="24"/>
          <w:highlight w:val="none"/>
        </w:rPr>
        <w:t>会议时，须提供：</w:t>
      </w:r>
    </w:p>
    <w:p w14:paraId="363CCE20">
      <w:pPr>
        <w:pStyle w:val="1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①法定代表人（合伙人）授权委托书（原件，不予退还）；②委托代理人身份证（原件）</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③法定代表人（合伙人）身份证明书（原件，不予退还）；</w:t>
      </w:r>
    </w:p>
    <w:p w14:paraId="65228072">
      <w:pPr>
        <w:pStyle w:val="10"/>
        <w:spacing w:after="0" w:line="360" w:lineRule="auto"/>
        <w:ind w:firstLine="482" w:firstLineChars="200"/>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上述证明文件也是响应文件的组成部分，如以上证明文件不全或不符合要求的，响应文件将作无效处理，责任自负。</w:t>
      </w:r>
    </w:p>
    <w:p w14:paraId="46C2D5AD">
      <w:pPr>
        <w:pStyle w:val="2"/>
        <w:jc w:val="center"/>
        <w:rPr>
          <w:rFonts w:hint="eastAsia" w:ascii="宋体" w:hAnsi="宋体" w:eastAsia="宋体" w:cs="宋体"/>
          <w:b w:val="0"/>
          <w:bCs w:val="0"/>
          <w:color w:val="auto"/>
          <w:kern w:val="0"/>
          <w:sz w:val="36"/>
          <w:szCs w:val="36"/>
          <w:highlight w:val="none"/>
          <w:lang w:val="en-US" w:eastAsia="zh-CN" w:bidi="ar-SA"/>
        </w:rPr>
      </w:pPr>
      <w:bookmarkStart w:id="133" w:name="_Toc12418"/>
      <w:r>
        <w:rPr>
          <w:rFonts w:hint="eastAsia" w:ascii="宋体" w:hAnsi="宋体" w:eastAsia="宋体" w:cs="宋体"/>
          <w:color w:val="auto"/>
          <w:highlight w:val="none"/>
        </w:rPr>
        <w:br w:type="page"/>
      </w:r>
      <w:bookmarkStart w:id="134" w:name="_Toc15430"/>
      <w:r>
        <w:rPr>
          <w:rFonts w:hint="eastAsia" w:ascii="宋体" w:hAnsi="宋体" w:eastAsia="宋体" w:cs="宋体"/>
          <w:b w:val="0"/>
          <w:bCs w:val="0"/>
          <w:color w:val="auto"/>
          <w:kern w:val="0"/>
          <w:sz w:val="36"/>
          <w:szCs w:val="36"/>
          <w:highlight w:val="none"/>
          <w:lang w:val="en-US" w:eastAsia="zh-CN" w:bidi="ar-SA"/>
        </w:rPr>
        <w:t>第三章 评审</w:t>
      </w:r>
      <w:bookmarkEnd w:id="127"/>
      <w:r>
        <w:rPr>
          <w:rFonts w:hint="eastAsia" w:ascii="宋体" w:hAnsi="宋体" w:eastAsia="宋体" w:cs="宋体"/>
          <w:b w:val="0"/>
          <w:bCs w:val="0"/>
          <w:color w:val="auto"/>
          <w:kern w:val="0"/>
          <w:sz w:val="36"/>
          <w:szCs w:val="36"/>
          <w:highlight w:val="none"/>
          <w:lang w:val="en-US" w:eastAsia="zh-CN" w:bidi="ar-SA"/>
        </w:rPr>
        <w:t>办法</w:t>
      </w:r>
      <w:bookmarkEnd w:id="133"/>
      <w:bookmarkEnd w:id="134"/>
    </w:p>
    <w:p w14:paraId="1206BAD0">
      <w:pPr>
        <w:pStyle w:val="4"/>
        <w:spacing w:before="156" w:beforeLines="50" w:after="156" w:afterLines="50" w:line="360" w:lineRule="auto"/>
        <w:jc w:val="center"/>
        <w:rPr>
          <w:rFonts w:hint="eastAsia" w:ascii="宋体" w:hAnsi="宋体" w:eastAsia="宋体" w:cs="宋体"/>
          <w:b w:val="0"/>
          <w:bCs w:val="0"/>
          <w:color w:val="auto"/>
          <w:highlight w:val="none"/>
        </w:rPr>
      </w:pPr>
      <w:bookmarkStart w:id="135" w:name="_Toc90020755"/>
      <w:bookmarkStart w:id="136" w:name="_Toc14795"/>
      <w:bookmarkStart w:id="137" w:name="_Toc47358425"/>
      <w:bookmarkStart w:id="138" w:name="_Toc54625619"/>
      <w:r>
        <w:rPr>
          <w:rFonts w:hint="eastAsia" w:ascii="宋体" w:hAnsi="宋体" w:eastAsia="宋体" w:cs="宋体"/>
          <w:b w:val="0"/>
          <w:bCs w:val="0"/>
          <w:color w:val="auto"/>
          <w:highlight w:val="none"/>
        </w:rPr>
        <w:t>评审办法前附表</w:t>
      </w:r>
      <w:bookmarkEnd w:id="135"/>
      <w:bookmarkEnd w:id="136"/>
      <w:bookmarkEnd w:id="137"/>
      <w:bookmarkEnd w:id="138"/>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6"/>
        <w:gridCol w:w="2939"/>
        <w:gridCol w:w="5877"/>
      </w:tblGrid>
      <w:tr w14:paraId="5014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575" w:type="pct"/>
            <w:noWrap w:val="0"/>
            <w:vAlign w:val="center"/>
          </w:tcPr>
          <w:p w14:paraId="5EEC3F7C">
            <w:pPr>
              <w:widowControl w:val="0"/>
              <w:autoSpaceDE w:val="0"/>
              <w:autoSpaceDN w:val="0"/>
              <w:adjustRightInd w:val="0"/>
              <w:spacing w:line="360" w:lineRule="auto"/>
              <w:jc w:val="center"/>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评审程序</w:t>
            </w:r>
          </w:p>
        </w:tc>
        <w:tc>
          <w:tcPr>
            <w:tcW w:w="1475" w:type="pct"/>
            <w:noWrap w:val="0"/>
            <w:vAlign w:val="center"/>
          </w:tcPr>
          <w:p w14:paraId="4F23403B">
            <w:pPr>
              <w:widowControl w:val="0"/>
              <w:autoSpaceDE w:val="0"/>
              <w:autoSpaceDN w:val="0"/>
              <w:adjustRightInd w:val="0"/>
              <w:spacing w:line="360" w:lineRule="auto"/>
              <w:jc w:val="center"/>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评审因素</w:t>
            </w:r>
          </w:p>
        </w:tc>
        <w:tc>
          <w:tcPr>
            <w:tcW w:w="2949" w:type="pct"/>
            <w:noWrap w:val="0"/>
            <w:vAlign w:val="center"/>
          </w:tcPr>
          <w:p w14:paraId="00DA1DF4">
            <w:pPr>
              <w:widowControl w:val="0"/>
              <w:autoSpaceDE w:val="0"/>
              <w:autoSpaceDN w:val="0"/>
              <w:adjustRightInd w:val="0"/>
              <w:spacing w:line="360" w:lineRule="auto"/>
              <w:jc w:val="center"/>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评审标准</w:t>
            </w:r>
          </w:p>
        </w:tc>
      </w:tr>
      <w:tr w14:paraId="64E2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75" w:type="pct"/>
            <w:vMerge w:val="restart"/>
            <w:noWrap w:val="0"/>
            <w:vAlign w:val="center"/>
          </w:tcPr>
          <w:p w14:paraId="1C9E0A68">
            <w:pPr>
              <w:widowControl w:val="0"/>
              <w:autoSpaceDE w:val="0"/>
              <w:autoSpaceDN w:val="0"/>
              <w:adjustRightInd w:val="0"/>
              <w:spacing w:line="360" w:lineRule="auto"/>
              <w:jc w:val="center"/>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形式评审标准</w:t>
            </w:r>
          </w:p>
        </w:tc>
        <w:tc>
          <w:tcPr>
            <w:tcW w:w="1475" w:type="pct"/>
            <w:noWrap w:val="0"/>
            <w:vAlign w:val="center"/>
          </w:tcPr>
          <w:p w14:paraId="3ED9A649">
            <w:pPr>
              <w:widowControl w:val="0"/>
              <w:autoSpaceDE w:val="0"/>
              <w:autoSpaceDN w:val="0"/>
              <w:adjustRightInd w:val="0"/>
              <w:spacing w:line="360" w:lineRule="auto"/>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申请人名称</w:t>
            </w:r>
          </w:p>
        </w:tc>
        <w:tc>
          <w:tcPr>
            <w:tcW w:w="2949" w:type="pct"/>
            <w:noWrap w:val="0"/>
            <w:vAlign w:val="center"/>
          </w:tcPr>
          <w:p w14:paraId="131F5424">
            <w:pPr>
              <w:widowControl w:val="0"/>
              <w:autoSpaceDE w:val="0"/>
              <w:autoSpaceDN w:val="0"/>
              <w:adjustRightInd w:val="0"/>
              <w:spacing w:line="360" w:lineRule="auto"/>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与企业相关证书、材料一致</w:t>
            </w:r>
          </w:p>
        </w:tc>
      </w:tr>
      <w:tr w14:paraId="4F62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575" w:type="pct"/>
            <w:vMerge w:val="continue"/>
            <w:noWrap w:val="0"/>
            <w:vAlign w:val="center"/>
          </w:tcPr>
          <w:p w14:paraId="6372E80A">
            <w:pPr>
              <w:widowControl w:val="0"/>
              <w:autoSpaceDE w:val="0"/>
              <w:autoSpaceDN w:val="0"/>
              <w:adjustRightInd w:val="0"/>
              <w:spacing w:line="360" w:lineRule="auto"/>
              <w:jc w:val="center"/>
              <w:rPr>
                <w:rFonts w:hint="eastAsia" w:ascii="宋体" w:hAnsi="宋体" w:eastAsia="宋体" w:cs="宋体"/>
                <w:b/>
                <w:bCs/>
                <w:color w:val="auto"/>
                <w:kern w:val="2"/>
                <w:sz w:val="24"/>
                <w:szCs w:val="24"/>
                <w:highlight w:val="none"/>
              </w:rPr>
            </w:pPr>
          </w:p>
        </w:tc>
        <w:tc>
          <w:tcPr>
            <w:tcW w:w="1475" w:type="pct"/>
            <w:noWrap w:val="0"/>
            <w:vAlign w:val="center"/>
          </w:tcPr>
          <w:p w14:paraId="71383CE8">
            <w:pPr>
              <w:widowControl w:val="0"/>
              <w:autoSpaceDE w:val="0"/>
              <w:autoSpaceDN w:val="0"/>
              <w:adjustRightInd w:val="0"/>
              <w:spacing w:line="360" w:lineRule="auto"/>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响应文件的签字和盖章</w:t>
            </w:r>
          </w:p>
        </w:tc>
        <w:tc>
          <w:tcPr>
            <w:tcW w:w="2949" w:type="pct"/>
            <w:noWrap w:val="0"/>
            <w:vAlign w:val="center"/>
          </w:tcPr>
          <w:p w14:paraId="2BAEB624">
            <w:pPr>
              <w:widowControl w:val="0"/>
              <w:autoSpaceDE w:val="0"/>
              <w:autoSpaceDN w:val="0"/>
              <w:adjustRightInd w:val="0"/>
              <w:spacing w:line="360" w:lineRule="auto"/>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符合第二章“申请人须知”2.3的要求</w:t>
            </w:r>
          </w:p>
        </w:tc>
      </w:tr>
      <w:tr w14:paraId="4F4B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575" w:type="pct"/>
            <w:vMerge w:val="continue"/>
            <w:noWrap w:val="0"/>
            <w:vAlign w:val="center"/>
          </w:tcPr>
          <w:p w14:paraId="4A2D1DF7">
            <w:pPr>
              <w:widowControl w:val="0"/>
              <w:autoSpaceDE w:val="0"/>
              <w:autoSpaceDN w:val="0"/>
              <w:adjustRightInd w:val="0"/>
              <w:spacing w:line="360" w:lineRule="auto"/>
              <w:jc w:val="center"/>
              <w:rPr>
                <w:rFonts w:hint="eastAsia" w:ascii="宋体" w:hAnsi="宋体" w:eastAsia="宋体" w:cs="宋体"/>
                <w:b/>
                <w:bCs/>
                <w:color w:val="auto"/>
                <w:kern w:val="2"/>
                <w:sz w:val="24"/>
                <w:szCs w:val="24"/>
                <w:highlight w:val="none"/>
              </w:rPr>
            </w:pPr>
          </w:p>
        </w:tc>
        <w:tc>
          <w:tcPr>
            <w:tcW w:w="1475" w:type="pct"/>
            <w:noWrap w:val="0"/>
            <w:vAlign w:val="center"/>
          </w:tcPr>
          <w:p w14:paraId="46A1514A">
            <w:pPr>
              <w:widowControl w:val="0"/>
              <w:autoSpaceDE w:val="0"/>
              <w:autoSpaceDN w:val="0"/>
              <w:adjustRightInd w:val="0"/>
              <w:spacing w:line="360" w:lineRule="auto"/>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报价</w:t>
            </w:r>
          </w:p>
        </w:tc>
        <w:tc>
          <w:tcPr>
            <w:tcW w:w="2949" w:type="pct"/>
            <w:noWrap w:val="0"/>
            <w:vAlign w:val="center"/>
          </w:tcPr>
          <w:p w14:paraId="00463797">
            <w:pPr>
              <w:widowControl w:val="0"/>
              <w:autoSpaceDE w:val="0"/>
              <w:autoSpaceDN w:val="0"/>
              <w:adjustRightInd w:val="0"/>
              <w:spacing w:line="360" w:lineRule="auto"/>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符合第二章“申请人须知”2.1的要求,且只有一个有效报价</w:t>
            </w:r>
          </w:p>
        </w:tc>
      </w:tr>
      <w:tr w14:paraId="7E5AC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75" w:type="pct"/>
            <w:vMerge w:val="continue"/>
            <w:noWrap w:val="0"/>
            <w:vAlign w:val="center"/>
          </w:tcPr>
          <w:p w14:paraId="49E583CA">
            <w:pPr>
              <w:widowControl w:val="0"/>
              <w:autoSpaceDE w:val="0"/>
              <w:autoSpaceDN w:val="0"/>
              <w:adjustRightInd w:val="0"/>
              <w:spacing w:line="360" w:lineRule="auto"/>
              <w:jc w:val="center"/>
              <w:rPr>
                <w:rFonts w:hint="eastAsia" w:ascii="宋体" w:hAnsi="宋体" w:eastAsia="宋体" w:cs="宋体"/>
                <w:b/>
                <w:bCs/>
                <w:color w:val="auto"/>
                <w:kern w:val="2"/>
                <w:sz w:val="24"/>
                <w:szCs w:val="24"/>
                <w:highlight w:val="none"/>
              </w:rPr>
            </w:pPr>
          </w:p>
        </w:tc>
        <w:tc>
          <w:tcPr>
            <w:tcW w:w="1475" w:type="pct"/>
            <w:noWrap w:val="0"/>
            <w:vAlign w:val="center"/>
          </w:tcPr>
          <w:p w14:paraId="66D6D8BC">
            <w:pPr>
              <w:widowControl w:val="0"/>
              <w:autoSpaceDE w:val="0"/>
              <w:autoSpaceDN w:val="0"/>
              <w:adjustRightInd w:val="0"/>
              <w:spacing w:line="360" w:lineRule="auto"/>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响应文件格式</w:t>
            </w:r>
          </w:p>
        </w:tc>
        <w:tc>
          <w:tcPr>
            <w:tcW w:w="2949" w:type="pct"/>
            <w:noWrap w:val="0"/>
            <w:vAlign w:val="center"/>
          </w:tcPr>
          <w:p w14:paraId="0960FF1F">
            <w:pPr>
              <w:widowControl w:val="0"/>
              <w:autoSpaceDE w:val="0"/>
              <w:autoSpaceDN w:val="0"/>
              <w:adjustRightInd w:val="0"/>
              <w:spacing w:line="360" w:lineRule="auto"/>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符合第</w:t>
            </w:r>
            <w:r>
              <w:rPr>
                <w:rFonts w:hint="eastAsia" w:ascii="宋体" w:hAnsi="宋体" w:eastAsia="宋体" w:cs="宋体"/>
                <w:color w:val="auto"/>
                <w:kern w:val="2"/>
                <w:sz w:val="24"/>
                <w:szCs w:val="24"/>
                <w:highlight w:val="none"/>
                <w:lang w:val="en-US" w:eastAsia="zh-CN"/>
              </w:rPr>
              <w:t>六</w:t>
            </w:r>
            <w:r>
              <w:rPr>
                <w:rFonts w:hint="eastAsia" w:ascii="宋体" w:hAnsi="宋体" w:eastAsia="宋体" w:cs="宋体"/>
                <w:color w:val="auto"/>
                <w:kern w:val="2"/>
                <w:sz w:val="24"/>
                <w:szCs w:val="24"/>
                <w:highlight w:val="none"/>
              </w:rPr>
              <w:t>章“响应文件格式”和第二章“申请人须知”2.3、2.4和2.5的要求</w:t>
            </w:r>
          </w:p>
        </w:tc>
      </w:tr>
      <w:tr w14:paraId="7D9C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75" w:type="pct"/>
            <w:vMerge w:val="restart"/>
            <w:noWrap w:val="0"/>
            <w:vAlign w:val="center"/>
          </w:tcPr>
          <w:p w14:paraId="1A78E9A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资格评审标准</w:t>
            </w:r>
          </w:p>
        </w:tc>
        <w:tc>
          <w:tcPr>
            <w:tcW w:w="1475" w:type="pct"/>
            <w:noWrap w:val="0"/>
            <w:vAlign w:val="center"/>
          </w:tcPr>
          <w:p w14:paraId="4D013CE2">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申请人资格条件</w:t>
            </w:r>
          </w:p>
        </w:tc>
        <w:tc>
          <w:tcPr>
            <w:tcW w:w="2949" w:type="pct"/>
            <w:noWrap w:val="0"/>
            <w:vAlign w:val="center"/>
          </w:tcPr>
          <w:p w14:paraId="4DFFD5D4">
            <w:pPr>
              <w:widowControl w:val="0"/>
              <w:spacing w:line="360" w:lineRule="auto"/>
              <w:jc w:val="both"/>
              <w:rPr>
                <w:rFonts w:hint="eastAsia" w:ascii="宋体" w:hAnsi="宋体" w:eastAsia="宋体" w:cs="宋体"/>
                <w:b/>
                <w:color w:val="auto"/>
                <w:kern w:val="2"/>
                <w:sz w:val="24"/>
                <w:szCs w:val="24"/>
                <w:highlight w:val="none"/>
              </w:rPr>
            </w:pPr>
            <w:r>
              <w:rPr>
                <w:rFonts w:hint="eastAsia" w:ascii="宋体" w:hAnsi="宋体" w:eastAsia="宋体" w:cs="宋体"/>
                <w:color w:val="auto"/>
                <w:kern w:val="2"/>
                <w:sz w:val="24"/>
                <w:szCs w:val="24"/>
                <w:highlight w:val="none"/>
              </w:rPr>
              <w:t>符合第一章“</w:t>
            </w:r>
            <w:r>
              <w:rPr>
                <w:rFonts w:hint="eastAsia" w:ascii="宋体" w:hAnsi="宋体" w:eastAsia="宋体" w:cs="宋体"/>
                <w:color w:val="auto"/>
                <w:kern w:val="2"/>
                <w:sz w:val="24"/>
                <w:szCs w:val="24"/>
                <w:highlight w:val="none"/>
                <w:lang w:eastAsia="zh-CN"/>
              </w:rPr>
              <w:t>询价</w:t>
            </w:r>
            <w:r>
              <w:rPr>
                <w:rFonts w:hint="eastAsia" w:ascii="宋体" w:hAnsi="宋体" w:cs="宋体"/>
                <w:color w:val="auto"/>
                <w:kern w:val="2"/>
                <w:sz w:val="24"/>
                <w:szCs w:val="24"/>
                <w:highlight w:val="none"/>
                <w:lang w:val="en-US" w:eastAsia="zh-CN"/>
              </w:rPr>
              <w:t>公告</w:t>
            </w:r>
            <w:r>
              <w:rPr>
                <w:rFonts w:hint="eastAsia" w:ascii="宋体" w:hAnsi="宋体" w:eastAsia="宋体" w:cs="宋体"/>
                <w:color w:val="auto"/>
                <w:kern w:val="2"/>
                <w:sz w:val="24"/>
                <w:szCs w:val="24"/>
                <w:highlight w:val="none"/>
              </w:rPr>
              <w:t>”中“3.</w:t>
            </w:r>
            <w:r>
              <w:rPr>
                <w:rFonts w:hint="eastAsia" w:ascii="宋体" w:hAnsi="宋体" w:eastAsia="宋体" w:cs="宋体"/>
                <w:color w:val="auto"/>
                <w:sz w:val="24"/>
                <w:szCs w:val="24"/>
                <w:highlight w:val="none"/>
              </w:rPr>
              <w:t>申请人资格条件</w:t>
            </w:r>
            <w:r>
              <w:rPr>
                <w:rFonts w:hint="eastAsia" w:ascii="宋体" w:hAnsi="宋体" w:eastAsia="宋体" w:cs="宋体"/>
                <w:color w:val="auto"/>
                <w:kern w:val="2"/>
                <w:sz w:val="24"/>
                <w:szCs w:val="24"/>
                <w:highlight w:val="none"/>
              </w:rPr>
              <w:t>”的要求</w:t>
            </w:r>
          </w:p>
        </w:tc>
      </w:tr>
      <w:tr w14:paraId="7324C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575" w:type="pct"/>
            <w:vMerge w:val="continue"/>
            <w:noWrap w:val="0"/>
            <w:vAlign w:val="center"/>
          </w:tcPr>
          <w:p w14:paraId="5F29C3A4">
            <w:pPr>
              <w:widowControl w:val="0"/>
              <w:autoSpaceDE w:val="0"/>
              <w:autoSpaceDN w:val="0"/>
              <w:adjustRightInd w:val="0"/>
              <w:spacing w:line="360" w:lineRule="auto"/>
              <w:jc w:val="center"/>
              <w:rPr>
                <w:rFonts w:hint="eastAsia" w:ascii="宋体" w:hAnsi="宋体" w:eastAsia="宋体" w:cs="宋体"/>
                <w:b/>
                <w:bCs/>
                <w:color w:val="auto"/>
                <w:kern w:val="2"/>
                <w:sz w:val="24"/>
                <w:szCs w:val="24"/>
                <w:highlight w:val="none"/>
              </w:rPr>
            </w:pPr>
          </w:p>
        </w:tc>
        <w:tc>
          <w:tcPr>
            <w:tcW w:w="1475" w:type="pct"/>
            <w:noWrap w:val="0"/>
            <w:vAlign w:val="center"/>
          </w:tcPr>
          <w:p w14:paraId="0BC80B3D">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法定代表人（合伙人）身份证明书或附有法定代表人（合伙人）身份证明的授权委托书</w:t>
            </w:r>
          </w:p>
        </w:tc>
        <w:tc>
          <w:tcPr>
            <w:tcW w:w="2949" w:type="pct"/>
            <w:noWrap w:val="0"/>
            <w:vAlign w:val="center"/>
          </w:tcPr>
          <w:p w14:paraId="6632815D">
            <w:pPr>
              <w:widowControl w:val="0"/>
              <w:autoSpaceDE w:val="0"/>
              <w:autoSpaceDN w:val="0"/>
              <w:adjustRightInd w:val="0"/>
              <w:spacing w:line="360" w:lineRule="auto"/>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按第</w:t>
            </w:r>
            <w:r>
              <w:rPr>
                <w:rFonts w:hint="eastAsia" w:ascii="宋体" w:hAnsi="宋体" w:eastAsia="宋体" w:cs="宋体"/>
                <w:color w:val="auto"/>
                <w:kern w:val="2"/>
                <w:sz w:val="24"/>
                <w:szCs w:val="24"/>
                <w:highlight w:val="none"/>
                <w:lang w:val="en-US" w:eastAsia="zh-CN"/>
              </w:rPr>
              <w:t>六</w:t>
            </w:r>
            <w:r>
              <w:rPr>
                <w:rFonts w:hint="eastAsia" w:ascii="宋体" w:hAnsi="宋体" w:eastAsia="宋体" w:cs="宋体"/>
                <w:color w:val="auto"/>
                <w:kern w:val="2"/>
                <w:sz w:val="24"/>
                <w:szCs w:val="24"/>
                <w:highlight w:val="none"/>
              </w:rPr>
              <w:t>章“响应文件格式”填写。</w:t>
            </w:r>
          </w:p>
          <w:p w14:paraId="629716AF">
            <w:pPr>
              <w:widowControl w:val="0"/>
              <w:autoSpaceDE w:val="0"/>
              <w:autoSpaceDN w:val="0"/>
              <w:adjustRightInd w:val="0"/>
              <w:spacing w:line="360" w:lineRule="auto"/>
              <w:jc w:val="both"/>
              <w:rPr>
                <w:rFonts w:hint="eastAsia" w:ascii="宋体" w:hAnsi="宋体" w:eastAsia="宋体" w:cs="宋体"/>
                <w:b/>
                <w:color w:val="auto"/>
                <w:kern w:val="2"/>
                <w:sz w:val="24"/>
                <w:szCs w:val="24"/>
                <w:highlight w:val="none"/>
              </w:rPr>
            </w:pPr>
            <w:r>
              <w:rPr>
                <w:rFonts w:hint="eastAsia" w:ascii="宋体" w:hAnsi="宋体" w:eastAsia="宋体" w:cs="宋体"/>
                <w:b/>
                <w:bCs/>
                <w:color w:val="auto"/>
                <w:sz w:val="24"/>
                <w:szCs w:val="24"/>
                <w:highlight w:val="none"/>
              </w:rPr>
              <w:t>是否需要核验原件：是（审核响应文件正本中的原件）</w:t>
            </w:r>
          </w:p>
        </w:tc>
      </w:tr>
      <w:tr w14:paraId="5D44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575" w:type="pct"/>
            <w:vMerge w:val="continue"/>
            <w:noWrap w:val="0"/>
            <w:vAlign w:val="center"/>
          </w:tcPr>
          <w:p w14:paraId="4FB7FCE0">
            <w:pPr>
              <w:widowControl w:val="0"/>
              <w:autoSpaceDE w:val="0"/>
              <w:autoSpaceDN w:val="0"/>
              <w:adjustRightInd w:val="0"/>
              <w:spacing w:line="360" w:lineRule="auto"/>
              <w:jc w:val="center"/>
              <w:rPr>
                <w:rFonts w:hint="eastAsia" w:ascii="宋体" w:hAnsi="宋体" w:eastAsia="宋体" w:cs="宋体"/>
                <w:b/>
                <w:bCs/>
                <w:color w:val="auto"/>
                <w:kern w:val="2"/>
                <w:sz w:val="24"/>
                <w:szCs w:val="24"/>
                <w:highlight w:val="none"/>
              </w:rPr>
            </w:pPr>
          </w:p>
        </w:tc>
        <w:tc>
          <w:tcPr>
            <w:tcW w:w="1475" w:type="pct"/>
            <w:noWrap w:val="0"/>
            <w:vAlign w:val="center"/>
          </w:tcPr>
          <w:p w14:paraId="13B28D03">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法定代表人（合伙人）或授权委托人居民身份证</w:t>
            </w:r>
          </w:p>
        </w:tc>
        <w:tc>
          <w:tcPr>
            <w:tcW w:w="2949" w:type="pct"/>
            <w:noWrap w:val="0"/>
            <w:vAlign w:val="center"/>
          </w:tcPr>
          <w:p w14:paraId="64BCCC3B">
            <w:pPr>
              <w:widowControl w:val="0"/>
              <w:autoSpaceDE w:val="0"/>
              <w:autoSpaceDN w:val="0"/>
              <w:adjustRightIn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具备有效证件，附原件复印件。</w:t>
            </w:r>
          </w:p>
          <w:p w14:paraId="5AEFD04B">
            <w:pPr>
              <w:widowControl w:val="0"/>
              <w:autoSpaceDE w:val="0"/>
              <w:autoSpaceDN w:val="0"/>
              <w:adjustRightIn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是否需要核验原件：是</w:t>
            </w:r>
          </w:p>
        </w:tc>
      </w:tr>
      <w:tr w14:paraId="63DC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575" w:type="pct"/>
            <w:vMerge w:val="restart"/>
            <w:noWrap w:val="0"/>
            <w:vAlign w:val="center"/>
          </w:tcPr>
          <w:p w14:paraId="42F53D54">
            <w:pPr>
              <w:widowControl w:val="0"/>
              <w:autoSpaceDE w:val="0"/>
              <w:autoSpaceDN w:val="0"/>
              <w:adjustRightInd w:val="0"/>
              <w:spacing w:line="360" w:lineRule="auto"/>
              <w:jc w:val="center"/>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响应性</w:t>
            </w:r>
          </w:p>
          <w:p w14:paraId="2D9F5A7B">
            <w:pPr>
              <w:widowControl w:val="0"/>
              <w:autoSpaceDE w:val="0"/>
              <w:autoSpaceDN w:val="0"/>
              <w:adjustRightInd w:val="0"/>
              <w:spacing w:line="360" w:lineRule="auto"/>
              <w:jc w:val="center"/>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评审标准</w:t>
            </w:r>
          </w:p>
        </w:tc>
        <w:tc>
          <w:tcPr>
            <w:tcW w:w="1475" w:type="pct"/>
            <w:noWrap w:val="0"/>
            <w:vAlign w:val="center"/>
          </w:tcPr>
          <w:p w14:paraId="4BF5759F">
            <w:pPr>
              <w:spacing w:line="360" w:lineRule="auto"/>
              <w:jc w:val="both"/>
              <w:rPr>
                <w:rFonts w:hint="eastAsia" w:ascii="宋体" w:hAnsi="宋体" w:eastAsia="宋体" w:cs="宋体"/>
                <w:color w:val="auto"/>
                <w:kern w:val="2"/>
                <w:sz w:val="24"/>
                <w:szCs w:val="24"/>
                <w:highlight w:val="none"/>
                <w:lang w:eastAsia="zh-CN"/>
              </w:rPr>
            </w:pPr>
            <w:r>
              <w:rPr>
                <w:rFonts w:hint="eastAsia" w:ascii="宋体" w:hAnsi="宋体" w:cs="宋体"/>
                <w:color w:val="auto"/>
                <w:kern w:val="2"/>
                <w:sz w:val="24"/>
                <w:szCs w:val="24"/>
                <w:highlight w:val="none"/>
                <w:lang w:eastAsia="zh-CN"/>
              </w:rPr>
              <w:t>服务周期</w:t>
            </w:r>
          </w:p>
        </w:tc>
        <w:tc>
          <w:tcPr>
            <w:tcW w:w="2949" w:type="pct"/>
            <w:noWrap w:val="0"/>
            <w:vAlign w:val="center"/>
          </w:tcPr>
          <w:p w14:paraId="7428A7C0">
            <w:pPr>
              <w:spacing w:line="360" w:lineRule="auto"/>
              <w:jc w:val="both"/>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响应文件载明的采购项目完成时间符合询价文件的规定</w:t>
            </w:r>
          </w:p>
        </w:tc>
      </w:tr>
      <w:tr w14:paraId="1F92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75" w:type="pct"/>
            <w:vMerge w:val="continue"/>
            <w:noWrap w:val="0"/>
            <w:vAlign w:val="center"/>
          </w:tcPr>
          <w:p w14:paraId="6D69C1AB">
            <w:pPr>
              <w:widowControl w:val="0"/>
              <w:autoSpaceDE w:val="0"/>
              <w:autoSpaceDN w:val="0"/>
              <w:adjustRightInd w:val="0"/>
              <w:spacing w:line="360" w:lineRule="auto"/>
              <w:jc w:val="both"/>
              <w:rPr>
                <w:rFonts w:hint="eastAsia" w:ascii="宋体" w:hAnsi="宋体" w:eastAsia="宋体" w:cs="宋体"/>
                <w:color w:val="auto"/>
                <w:kern w:val="2"/>
                <w:sz w:val="24"/>
                <w:szCs w:val="24"/>
                <w:highlight w:val="none"/>
              </w:rPr>
            </w:pPr>
          </w:p>
        </w:tc>
        <w:tc>
          <w:tcPr>
            <w:tcW w:w="1475" w:type="pct"/>
            <w:noWrap w:val="0"/>
            <w:vAlign w:val="center"/>
          </w:tcPr>
          <w:p w14:paraId="74A801D8">
            <w:pPr>
              <w:spacing w:line="360" w:lineRule="auto"/>
              <w:jc w:val="both"/>
              <w:rPr>
                <w:rFonts w:hint="eastAsia" w:ascii="宋体" w:hAnsi="宋体" w:eastAsia="宋体" w:cs="宋体"/>
                <w:color w:val="auto"/>
                <w:kern w:val="2"/>
                <w:sz w:val="24"/>
                <w:szCs w:val="24"/>
                <w:highlight w:val="none"/>
                <w:lang w:eastAsia="zh-CN"/>
              </w:rPr>
            </w:pPr>
            <w:r>
              <w:rPr>
                <w:rFonts w:hint="eastAsia" w:ascii="宋体" w:hAnsi="宋体" w:cs="宋体"/>
                <w:color w:val="auto"/>
                <w:kern w:val="2"/>
                <w:sz w:val="24"/>
                <w:szCs w:val="24"/>
                <w:highlight w:val="none"/>
                <w:lang w:eastAsia="zh-CN"/>
              </w:rPr>
              <w:t>项目质量要求</w:t>
            </w:r>
          </w:p>
        </w:tc>
        <w:tc>
          <w:tcPr>
            <w:tcW w:w="2949" w:type="pct"/>
            <w:noWrap w:val="0"/>
            <w:vAlign w:val="center"/>
          </w:tcPr>
          <w:p w14:paraId="5B22ABBF">
            <w:pPr>
              <w:spacing w:line="360" w:lineRule="auto"/>
              <w:jc w:val="both"/>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响应文件有</w:t>
            </w:r>
            <w:r>
              <w:rPr>
                <w:rFonts w:hint="eastAsia" w:ascii="宋体" w:hAnsi="宋体" w:cs="宋体"/>
                <w:color w:val="auto"/>
                <w:sz w:val="24"/>
                <w:szCs w:val="24"/>
                <w:highlight w:val="none"/>
                <w:lang w:eastAsia="zh-CN"/>
              </w:rPr>
              <w:t>项目质量要求</w:t>
            </w:r>
            <w:r>
              <w:rPr>
                <w:rFonts w:hint="eastAsia" w:ascii="宋体" w:hAnsi="宋体" w:eastAsia="宋体" w:cs="宋体"/>
                <w:color w:val="auto"/>
                <w:sz w:val="24"/>
                <w:szCs w:val="24"/>
                <w:highlight w:val="none"/>
              </w:rPr>
              <w:t>且</w:t>
            </w:r>
            <w:r>
              <w:rPr>
                <w:rFonts w:hint="eastAsia" w:ascii="宋体" w:hAnsi="宋体" w:cs="宋体"/>
                <w:color w:val="auto"/>
                <w:sz w:val="24"/>
                <w:szCs w:val="24"/>
                <w:highlight w:val="none"/>
                <w:lang w:eastAsia="zh-CN"/>
              </w:rPr>
              <w:t>项目质量要求</w:t>
            </w:r>
            <w:r>
              <w:rPr>
                <w:rFonts w:hint="eastAsia" w:ascii="宋体" w:hAnsi="宋体" w:eastAsia="宋体" w:cs="宋体"/>
                <w:color w:val="auto"/>
                <w:sz w:val="24"/>
                <w:szCs w:val="24"/>
                <w:highlight w:val="none"/>
              </w:rPr>
              <w:t>满足询价文件要求</w:t>
            </w:r>
          </w:p>
        </w:tc>
      </w:tr>
      <w:tr w14:paraId="6F58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75" w:type="pct"/>
            <w:vMerge w:val="continue"/>
            <w:noWrap w:val="0"/>
            <w:vAlign w:val="center"/>
          </w:tcPr>
          <w:p w14:paraId="7CF9527B">
            <w:pPr>
              <w:widowControl w:val="0"/>
              <w:autoSpaceDE w:val="0"/>
              <w:autoSpaceDN w:val="0"/>
              <w:adjustRightInd w:val="0"/>
              <w:spacing w:line="360" w:lineRule="auto"/>
              <w:jc w:val="both"/>
              <w:rPr>
                <w:rFonts w:hint="eastAsia" w:ascii="宋体" w:hAnsi="宋体" w:eastAsia="宋体" w:cs="宋体"/>
                <w:color w:val="auto"/>
                <w:kern w:val="2"/>
                <w:sz w:val="24"/>
                <w:szCs w:val="24"/>
                <w:highlight w:val="none"/>
              </w:rPr>
            </w:pPr>
          </w:p>
        </w:tc>
        <w:tc>
          <w:tcPr>
            <w:tcW w:w="1475" w:type="pct"/>
            <w:noWrap w:val="0"/>
            <w:vAlign w:val="center"/>
          </w:tcPr>
          <w:p w14:paraId="0AA9EFB2">
            <w:pPr>
              <w:spacing w:line="360" w:lineRule="auto"/>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有效期</w:t>
            </w:r>
          </w:p>
        </w:tc>
        <w:tc>
          <w:tcPr>
            <w:tcW w:w="2949" w:type="pct"/>
            <w:noWrap w:val="0"/>
            <w:vAlign w:val="center"/>
          </w:tcPr>
          <w:p w14:paraId="270D0D7E">
            <w:pPr>
              <w:spacing w:line="360" w:lineRule="auto"/>
              <w:jc w:val="both"/>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响应文件</w:t>
            </w:r>
            <w:r>
              <w:rPr>
                <w:rFonts w:hint="eastAsia" w:ascii="宋体" w:hAnsi="宋体" w:eastAsia="宋体" w:cs="宋体"/>
                <w:color w:val="auto"/>
                <w:kern w:val="2"/>
                <w:sz w:val="24"/>
                <w:szCs w:val="24"/>
                <w:highlight w:val="none"/>
              </w:rPr>
              <w:t>有效期满足询价文件要求</w:t>
            </w:r>
          </w:p>
        </w:tc>
      </w:tr>
      <w:tr w14:paraId="4A78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75" w:type="pct"/>
            <w:vMerge w:val="continue"/>
            <w:noWrap w:val="0"/>
            <w:vAlign w:val="center"/>
          </w:tcPr>
          <w:p w14:paraId="5F652E85">
            <w:pPr>
              <w:widowControl w:val="0"/>
              <w:autoSpaceDE w:val="0"/>
              <w:autoSpaceDN w:val="0"/>
              <w:adjustRightInd w:val="0"/>
              <w:spacing w:line="360" w:lineRule="auto"/>
              <w:jc w:val="both"/>
              <w:rPr>
                <w:rFonts w:hint="eastAsia" w:ascii="宋体" w:hAnsi="宋体" w:eastAsia="宋体" w:cs="宋体"/>
                <w:color w:val="auto"/>
                <w:kern w:val="2"/>
                <w:sz w:val="24"/>
                <w:szCs w:val="24"/>
                <w:highlight w:val="none"/>
              </w:rPr>
            </w:pPr>
          </w:p>
        </w:tc>
        <w:tc>
          <w:tcPr>
            <w:tcW w:w="1475" w:type="pct"/>
            <w:noWrap w:val="0"/>
            <w:vAlign w:val="center"/>
          </w:tcPr>
          <w:p w14:paraId="7B23E49E">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承诺函</w:t>
            </w:r>
          </w:p>
        </w:tc>
        <w:tc>
          <w:tcPr>
            <w:tcW w:w="2949" w:type="pct"/>
            <w:noWrap w:val="0"/>
            <w:vAlign w:val="center"/>
          </w:tcPr>
          <w:p w14:paraId="55BD622C">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响应文件应</w:t>
            </w:r>
            <w:r>
              <w:rPr>
                <w:rFonts w:hint="eastAsia" w:ascii="宋体" w:hAnsi="宋体" w:cs="宋体"/>
                <w:color w:val="auto"/>
                <w:sz w:val="24"/>
                <w:szCs w:val="24"/>
                <w:highlight w:val="none"/>
                <w:lang w:val="en-US" w:eastAsia="zh-CN"/>
              </w:rPr>
              <w:t>按《第四章 采购需求》的规定提供承诺函。</w:t>
            </w:r>
          </w:p>
        </w:tc>
      </w:tr>
      <w:tr w14:paraId="0B96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75" w:type="pct"/>
            <w:vMerge w:val="continue"/>
            <w:noWrap w:val="0"/>
            <w:vAlign w:val="center"/>
          </w:tcPr>
          <w:p w14:paraId="7C2CBFC0">
            <w:pPr>
              <w:widowControl w:val="0"/>
              <w:autoSpaceDE w:val="0"/>
              <w:autoSpaceDN w:val="0"/>
              <w:adjustRightInd w:val="0"/>
              <w:spacing w:line="360" w:lineRule="auto"/>
              <w:jc w:val="both"/>
              <w:rPr>
                <w:rFonts w:hint="eastAsia" w:ascii="宋体" w:hAnsi="宋体" w:eastAsia="宋体" w:cs="宋体"/>
                <w:color w:val="auto"/>
                <w:kern w:val="2"/>
                <w:sz w:val="24"/>
                <w:szCs w:val="24"/>
                <w:highlight w:val="none"/>
              </w:rPr>
            </w:pPr>
          </w:p>
        </w:tc>
        <w:tc>
          <w:tcPr>
            <w:tcW w:w="1475" w:type="pct"/>
            <w:noWrap w:val="0"/>
            <w:vAlign w:val="center"/>
          </w:tcPr>
          <w:p w14:paraId="581055B0">
            <w:pPr>
              <w:spacing w:line="360" w:lineRule="auto"/>
              <w:jc w:val="both"/>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其他要求</w:t>
            </w:r>
          </w:p>
        </w:tc>
        <w:tc>
          <w:tcPr>
            <w:tcW w:w="2949" w:type="pct"/>
            <w:noWrap w:val="0"/>
            <w:vAlign w:val="center"/>
          </w:tcPr>
          <w:p w14:paraId="39D2FEDA">
            <w:pPr>
              <w:spacing w:line="360" w:lineRule="auto"/>
              <w:jc w:val="both"/>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满足询价文件规定的其他采购服务需求</w:t>
            </w:r>
          </w:p>
        </w:tc>
      </w:tr>
    </w:tbl>
    <w:p w14:paraId="1D0A6339">
      <w:pPr>
        <w:spacing w:line="520" w:lineRule="exact"/>
        <w:jc w:val="center"/>
        <w:outlineLvl w:val="2"/>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color w:val="auto"/>
          <w:sz w:val="32"/>
          <w:szCs w:val="32"/>
          <w:highlight w:val="none"/>
        </w:rPr>
        <w:t>1.评审办法</w:t>
      </w:r>
    </w:p>
    <w:p w14:paraId="38E7F150">
      <w:pPr>
        <w:spacing w:line="520" w:lineRule="exact"/>
        <w:ind w:firstLine="480" w:firstLineChars="200"/>
        <w:rPr>
          <w:rFonts w:hint="eastAsia" w:ascii="宋体" w:hAnsi="宋体" w:eastAsia="宋体" w:cs="宋体"/>
          <w:color w:val="auto"/>
          <w:kern w:val="2"/>
          <w:sz w:val="24"/>
          <w:szCs w:val="24"/>
          <w:highlight w:val="none"/>
        </w:rPr>
      </w:pPr>
      <w:bookmarkStart w:id="139" w:name="_Hlk52098497"/>
      <w:r>
        <w:rPr>
          <w:rFonts w:hint="eastAsia" w:ascii="宋体" w:hAnsi="宋体" w:eastAsia="宋体" w:cs="宋体"/>
          <w:color w:val="auto"/>
          <w:sz w:val="24"/>
          <w:szCs w:val="24"/>
          <w:highlight w:val="none"/>
          <w:lang w:val="en-US" w:eastAsia="zh-CN"/>
        </w:rPr>
        <w:t>参照</w:t>
      </w:r>
      <w:r>
        <w:rPr>
          <w:rFonts w:hint="eastAsia" w:ascii="宋体" w:hAnsi="宋体" w:eastAsia="宋体" w:cs="宋体"/>
          <w:color w:val="auto"/>
          <w:sz w:val="24"/>
          <w:szCs w:val="24"/>
          <w:highlight w:val="none"/>
        </w:rPr>
        <w:t>相关法律、法规及监管规定，本项目采用</w:t>
      </w:r>
      <w:r>
        <w:rPr>
          <w:rFonts w:hint="eastAsia" w:ascii="宋体" w:hAnsi="宋体" w:cs="宋体"/>
          <w:b/>
          <w:bCs/>
          <w:color w:val="auto"/>
          <w:sz w:val="24"/>
          <w:szCs w:val="24"/>
          <w:highlight w:val="none"/>
          <w:u w:val="single"/>
          <w:lang w:eastAsia="zh-CN"/>
        </w:rPr>
        <w:t>最低评标价法</w:t>
      </w:r>
      <w:r>
        <w:rPr>
          <w:rFonts w:hint="eastAsia" w:ascii="宋体" w:hAnsi="宋体" w:eastAsia="宋体" w:cs="宋体"/>
          <w:color w:val="auto"/>
          <w:sz w:val="24"/>
          <w:szCs w:val="24"/>
          <w:highlight w:val="none"/>
        </w:rPr>
        <w:t>评标，询价小组成员按照客观、公正、谨慎的原则，根据询价文件</w:t>
      </w:r>
      <w:bookmarkEnd w:id="139"/>
      <w:r>
        <w:rPr>
          <w:rFonts w:hint="eastAsia" w:ascii="宋体" w:hAnsi="宋体" w:eastAsia="宋体" w:cs="宋体"/>
          <w:color w:val="auto"/>
          <w:sz w:val="24"/>
          <w:szCs w:val="24"/>
          <w:highlight w:val="none"/>
        </w:rPr>
        <w:t>规定的方法、评审因素、标准和程序对响应文件进行评审，“评审办法”没有规定的方法、评审因素和标准，不作为评审依据。</w:t>
      </w:r>
    </w:p>
    <w:p w14:paraId="69581532">
      <w:pPr>
        <w:numPr>
          <w:ilvl w:val="0"/>
          <w:numId w:val="0"/>
        </w:numPr>
        <w:spacing w:line="520" w:lineRule="exact"/>
        <w:jc w:val="center"/>
        <w:outlineLvl w:val="2"/>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lang w:val="en-US" w:eastAsia="zh-CN"/>
        </w:rPr>
        <w:t>2.</w:t>
      </w:r>
      <w:r>
        <w:rPr>
          <w:rFonts w:hint="eastAsia" w:ascii="宋体" w:hAnsi="宋体" w:eastAsia="宋体" w:cs="宋体"/>
          <w:color w:val="auto"/>
          <w:sz w:val="32"/>
          <w:szCs w:val="32"/>
          <w:highlight w:val="none"/>
        </w:rPr>
        <w:t>评审程序</w:t>
      </w:r>
    </w:p>
    <w:p w14:paraId="67BB490D">
      <w:pPr>
        <w:spacing w:line="520" w:lineRule="exact"/>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2.1形式评审、资格评审和响应性评审</w:t>
      </w:r>
    </w:p>
    <w:p w14:paraId="379C9D87">
      <w:pPr>
        <w:spacing w:line="52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询价小组依据询价文件的规定，依次对响应文件进行</w:t>
      </w:r>
      <w:r>
        <w:rPr>
          <w:rFonts w:hint="eastAsia" w:ascii="宋体" w:hAnsi="宋体" w:eastAsia="宋体" w:cs="宋体"/>
          <w:b/>
          <w:bCs/>
          <w:color w:val="auto"/>
          <w:sz w:val="24"/>
          <w:szCs w:val="24"/>
          <w:highlight w:val="none"/>
        </w:rPr>
        <w:t>形式评审、资格评审和响应性评审，未通过上一步评审的，不得进入下一步程序</w:t>
      </w:r>
      <w:r>
        <w:rPr>
          <w:rFonts w:hint="eastAsia" w:ascii="宋体" w:hAnsi="宋体" w:eastAsia="宋体" w:cs="宋体"/>
          <w:color w:val="auto"/>
          <w:sz w:val="24"/>
          <w:szCs w:val="24"/>
          <w:highlight w:val="none"/>
        </w:rPr>
        <w:t>。评审标准详见“评审办法前附表”。</w:t>
      </w:r>
    </w:p>
    <w:p w14:paraId="0220B6A8">
      <w:pPr>
        <w:spacing w:line="520" w:lineRule="exact"/>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2.2响应文件的评审、比较和取消询价资格</w:t>
      </w:r>
    </w:p>
    <w:p w14:paraId="29D4A789">
      <w:pPr>
        <w:spacing w:line="52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小组将按照</w:t>
      </w:r>
      <w:r>
        <w:rPr>
          <w:rFonts w:hint="eastAsia" w:ascii="宋体" w:hAnsi="宋体" w:eastAsia="宋体" w:cs="宋体"/>
          <w:color w:val="auto"/>
          <w:sz w:val="24"/>
          <w:szCs w:val="24"/>
          <w:highlight w:val="none"/>
          <w:lang w:val="en-US" w:eastAsia="zh-CN"/>
        </w:rPr>
        <w:t>评审办法</w:t>
      </w:r>
      <w:r>
        <w:rPr>
          <w:rFonts w:hint="eastAsia" w:ascii="宋体" w:hAnsi="宋体" w:eastAsia="宋体" w:cs="宋体"/>
          <w:color w:val="auto"/>
          <w:sz w:val="24"/>
          <w:szCs w:val="24"/>
          <w:highlight w:val="none"/>
        </w:rPr>
        <w:t>规定，对通过了初步评审的申请人的响应文件进行评估和比较。</w:t>
      </w:r>
    </w:p>
    <w:p w14:paraId="48CF710E">
      <w:pPr>
        <w:spacing w:line="52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.2在评审过程中，</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小组可以书面形式要求申请人就响应文件中含义不明确的内容进行书面说明并提供相关材料。书面说明及相关材料不能改变响应文件的实质性内容。</w:t>
      </w:r>
    </w:p>
    <w:p w14:paraId="2931B693">
      <w:pPr>
        <w:spacing w:line="52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.3申请人或响应文件有下列情形之一的,其资格将被取消：</w:t>
      </w:r>
    </w:p>
    <w:p w14:paraId="0B0A10E4">
      <w:pPr>
        <w:spacing w:line="52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（1）有串通投标或弄虚作假或有其他违法行为的。</w:t>
      </w:r>
    </w:p>
    <w:p w14:paraId="066C7B32">
      <w:pPr>
        <w:spacing w:line="52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（2）有第</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rPr>
        <w:t>章“3.申请人资格条件”规定的任何一种情形的。</w:t>
      </w:r>
    </w:p>
    <w:p w14:paraId="2AD82D0C">
      <w:pPr>
        <w:spacing w:line="52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）不按</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小组要求澄清、说明或补正的。</w:t>
      </w:r>
    </w:p>
    <w:p w14:paraId="68FF40C5">
      <w:pPr>
        <w:spacing w:line="52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lang w:val="en-US" w:eastAsia="zh-CN"/>
        </w:rPr>
        <w:t>初步</w:t>
      </w:r>
      <w:r>
        <w:rPr>
          <w:rFonts w:hint="eastAsia" w:ascii="宋体" w:hAnsi="宋体" w:eastAsia="宋体" w:cs="宋体"/>
          <w:color w:val="auto"/>
          <w:sz w:val="24"/>
          <w:szCs w:val="24"/>
          <w:highlight w:val="none"/>
        </w:rPr>
        <w:t>评审中，</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小组认定申请人不符合评审办法前附表中规定的任何一项评审标准的。</w:t>
      </w:r>
    </w:p>
    <w:p w14:paraId="41243787">
      <w:pPr>
        <w:spacing w:line="52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小组认定申请人以低于成本报价的。</w:t>
      </w:r>
    </w:p>
    <w:p w14:paraId="36DAEF84">
      <w:pPr>
        <w:spacing w:line="52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）响应文件未按</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 xml:space="preserve">文件的要求加盖单位章或法定代表人（合伙人）或授权代理人未按要求签字或盖章的。 </w:t>
      </w:r>
    </w:p>
    <w:p w14:paraId="3DBE9371">
      <w:pPr>
        <w:spacing w:line="52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）响应文件未按</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文件规定的格式填写，内容不全或关键字迹模糊、无法辨认的。</w:t>
      </w:r>
    </w:p>
    <w:p w14:paraId="4E8E49E1">
      <w:pPr>
        <w:spacing w:line="52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）申请人递交两份或多份内容不同的响应文件，或在一份响应文件中对同一采购项目报有两个或多个报价，且未声明哪一个有效的。</w:t>
      </w:r>
    </w:p>
    <w:p w14:paraId="6CDBCD05">
      <w:pPr>
        <w:spacing w:line="52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）不符合</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文件实质性要求的或响应文件附有采购人不能接受的条件的。</w:t>
      </w:r>
    </w:p>
    <w:p w14:paraId="1C3B6798">
      <w:pPr>
        <w:spacing w:line="52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）申请人的报价超过本项目公布的</w:t>
      </w:r>
      <w:r>
        <w:rPr>
          <w:rFonts w:hint="eastAsia" w:ascii="宋体" w:hAnsi="宋体" w:eastAsia="宋体" w:cs="宋体"/>
          <w:color w:val="auto"/>
          <w:sz w:val="24"/>
          <w:szCs w:val="24"/>
          <w:highlight w:val="none"/>
          <w:lang w:val="en-US" w:eastAsia="zh-CN"/>
        </w:rPr>
        <w:t>最高投标</w:t>
      </w:r>
      <w:r>
        <w:rPr>
          <w:rFonts w:hint="eastAsia" w:ascii="宋体" w:hAnsi="宋体" w:eastAsia="宋体" w:cs="宋体"/>
          <w:color w:val="auto"/>
          <w:sz w:val="24"/>
          <w:szCs w:val="24"/>
          <w:highlight w:val="none"/>
        </w:rPr>
        <w:t>限价的。</w:t>
      </w:r>
    </w:p>
    <w:p w14:paraId="44DF1476">
      <w:pPr>
        <w:spacing w:line="520" w:lineRule="exact"/>
        <w:ind w:firstLine="480" w:firstLineChars="20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（11）不同申请人委托同一人参与询价会议的。</w:t>
      </w:r>
    </w:p>
    <w:p w14:paraId="16935110">
      <w:pPr>
        <w:spacing w:line="520" w:lineRule="exact"/>
        <w:ind w:firstLine="480" w:firstLineChars="20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（12）不同申请人的响应文件载明的项目管理机构成员出现相同人员的。</w:t>
      </w:r>
    </w:p>
    <w:p w14:paraId="1FD7C116">
      <w:pPr>
        <w:spacing w:line="520" w:lineRule="exact"/>
        <w:ind w:firstLine="480" w:firstLineChars="20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（13）不同申请人的响应文件内容存在非正常一致的。</w:t>
      </w:r>
    </w:p>
    <w:p w14:paraId="78254E79">
      <w:pPr>
        <w:spacing w:line="520" w:lineRule="exact"/>
        <w:ind w:firstLine="480" w:firstLineChars="20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（14）违反国家、省、市相关法律法规的。</w:t>
      </w:r>
    </w:p>
    <w:p w14:paraId="6D6AEBBF">
      <w:pPr>
        <w:spacing w:line="520" w:lineRule="exact"/>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成交候选人推荐</w:t>
      </w:r>
    </w:p>
    <w:p w14:paraId="0BA7FB04">
      <w:pPr>
        <w:spacing w:line="52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询价小组从同时通过形式评审、资格评审和响应性评审的所有申请人中，按照报价由低到高的顺序推荐3名成交候选人。</w:t>
      </w:r>
      <w:r>
        <w:rPr>
          <w:rFonts w:hint="eastAsia" w:ascii="宋体" w:hAnsi="宋体" w:eastAsia="宋体" w:cs="宋体"/>
          <w:color w:val="auto"/>
          <w:sz w:val="24"/>
          <w:szCs w:val="24"/>
          <w:highlight w:val="none"/>
        </w:rPr>
        <w:t>排在前面的成交候选人的总报价或者某些分项报价明显不合理或者低于成本，应当要求其在规定的期限内提供有关价格构成的书面文件予以解释说明，并提交相关证明材料；否则，询价小组可以取消该申请人的成交候选资格，按顺序由排在后面的成交候选申请人递补，以此类推。</w:t>
      </w:r>
      <w:bookmarkStart w:id="140" w:name="_Toc2212"/>
      <w:bookmarkStart w:id="141" w:name="_Toc2297"/>
      <w:bookmarkStart w:id="142" w:name="_Toc32502"/>
      <w:bookmarkStart w:id="143" w:name="_Toc28570"/>
      <w:bookmarkStart w:id="144" w:name="_Toc2224"/>
    </w:p>
    <w:p w14:paraId="7C875D61">
      <w:pPr>
        <w:numPr>
          <w:ilvl w:val="0"/>
          <w:numId w:val="0"/>
        </w:numPr>
        <w:spacing w:line="520" w:lineRule="exact"/>
        <w:jc w:val="center"/>
        <w:outlineLvl w:val="2"/>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lang w:val="en-US" w:eastAsia="zh-CN"/>
        </w:rPr>
        <w:t>3.</w:t>
      </w:r>
      <w:r>
        <w:rPr>
          <w:rFonts w:hint="eastAsia" w:ascii="宋体" w:hAnsi="宋体" w:eastAsia="宋体" w:cs="宋体"/>
          <w:color w:val="auto"/>
          <w:sz w:val="32"/>
          <w:szCs w:val="32"/>
          <w:highlight w:val="none"/>
        </w:rPr>
        <w:t>评审报告</w:t>
      </w:r>
      <w:bookmarkEnd w:id="140"/>
      <w:bookmarkEnd w:id="141"/>
      <w:bookmarkEnd w:id="142"/>
      <w:bookmarkEnd w:id="143"/>
      <w:bookmarkEnd w:id="144"/>
      <w:bookmarkStart w:id="145" w:name="_Toc18285"/>
      <w:bookmarkStart w:id="146" w:name="_Toc13650"/>
    </w:p>
    <w:p w14:paraId="7210BF5F">
      <w:pPr>
        <w:spacing w:line="520" w:lineRule="exact"/>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询价小组根据评审情况出具评审报告，并由询价小组全体人员签字。</w:t>
      </w:r>
      <w:r>
        <w:rPr>
          <w:rFonts w:hint="eastAsia" w:ascii="宋体" w:hAnsi="宋体" w:eastAsia="宋体" w:cs="宋体"/>
          <w:color w:val="auto"/>
          <w:sz w:val="24"/>
          <w:szCs w:val="24"/>
          <w:highlight w:val="none"/>
        </w:rPr>
        <w:t>询价小组成员依法独立评审，对自己的评审意见承担法律责任，对需要共同认定的事项存在争议的,询价小组按照少数服从多数的原则做出结论。询价小组成员对评审报告有异议的,应当在评审报告上签署不同意见并说明理由,否则视为同意评审报告。</w:t>
      </w:r>
      <w:bookmarkEnd w:id="145"/>
      <w:bookmarkEnd w:id="146"/>
      <w:bookmarkStart w:id="147" w:name="_Toc15888"/>
    </w:p>
    <w:p w14:paraId="27F5E3BC">
      <w:pPr>
        <w:spacing w:line="520" w:lineRule="exact"/>
        <w:ind w:firstLine="480" w:firstLineChars="200"/>
        <w:jc w:val="both"/>
        <w:rPr>
          <w:rFonts w:hint="eastAsia" w:ascii="宋体" w:hAnsi="宋体" w:eastAsia="宋体" w:cs="宋体"/>
          <w:color w:val="auto"/>
          <w:sz w:val="24"/>
          <w:szCs w:val="24"/>
          <w:highlight w:val="none"/>
        </w:rPr>
      </w:pPr>
    </w:p>
    <w:p w14:paraId="4FBF9EF4">
      <w:pPr>
        <w:rPr>
          <w:rFonts w:hint="eastAsia" w:ascii="宋体" w:hAnsi="宋体" w:eastAsia="宋体" w:cs="宋体"/>
          <w:color w:val="auto"/>
          <w:sz w:val="24"/>
          <w:szCs w:val="24"/>
          <w:highlight w:val="none"/>
        </w:rPr>
      </w:pPr>
    </w:p>
    <w:p w14:paraId="315F23FD">
      <w:pPr>
        <w:rPr>
          <w:rFonts w:hint="eastAsia" w:ascii="宋体" w:hAnsi="宋体" w:eastAsia="宋体" w:cs="宋体"/>
          <w:color w:val="auto"/>
          <w:highlight w:val="none"/>
        </w:rPr>
      </w:pPr>
    </w:p>
    <w:p w14:paraId="5E646B79">
      <w:pPr>
        <w:spacing w:line="520" w:lineRule="exact"/>
        <w:jc w:val="center"/>
        <w:outlineLvl w:val="0"/>
        <w:rPr>
          <w:rFonts w:hint="eastAsia" w:ascii="宋体" w:hAnsi="宋体" w:eastAsia="宋体" w:cs="宋体"/>
          <w:color w:val="auto"/>
          <w:sz w:val="36"/>
          <w:szCs w:val="36"/>
          <w:highlight w:val="none"/>
        </w:rPr>
      </w:pPr>
      <w:r>
        <w:rPr>
          <w:rFonts w:hint="eastAsia" w:ascii="宋体" w:hAnsi="宋体" w:eastAsia="宋体" w:cs="宋体"/>
          <w:color w:val="auto"/>
          <w:kern w:val="44"/>
          <w:sz w:val="36"/>
          <w:szCs w:val="36"/>
          <w:highlight w:val="none"/>
        </w:rPr>
        <w:br w:type="page"/>
      </w:r>
      <w:bookmarkStart w:id="148" w:name="_Toc17611"/>
      <w:r>
        <w:rPr>
          <w:rFonts w:hint="eastAsia" w:ascii="宋体" w:hAnsi="宋体" w:eastAsia="宋体" w:cs="宋体"/>
          <w:color w:val="auto"/>
          <w:sz w:val="36"/>
          <w:szCs w:val="36"/>
          <w:highlight w:val="none"/>
        </w:rPr>
        <w:t>第四章 采购需求</w:t>
      </w:r>
      <w:bookmarkEnd w:id="148"/>
    </w:p>
    <w:p w14:paraId="17228DC3">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项目概况：</w:t>
      </w:r>
    </w:p>
    <w:p w14:paraId="06CB8FD0">
      <w:pPr>
        <w:pStyle w:val="8"/>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清算审计工作内容：对鑫安道路公司清算注销事项进行专项审计，根据公司清算基准日的财务状况出具清算审计报告。</w:t>
      </w:r>
    </w:p>
    <w:p w14:paraId="129EACF7">
      <w:pPr>
        <w:pStyle w:val="8"/>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项目预算金额/最高限价：</w:t>
      </w:r>
      <w:r>
        <w:rPr>
          <w:rFonts w:hint="eastAsia" w:ascii="宋体" w:hAnsi="宋体" w:eastAsia="宋体" w:cs="宋体"/>
          <w:b w:val="0"/>
          <w:bCs w:val="0"/>
          <w:color w:val="auto"/>
          <w:sz w:val="24"/>
          <w:szCs w:val="24"/>
          <w:highlight w:val="none"/>
          <w:lang w:val="en-US" w:eastAsia="zh-CN"/>
        </w:rPr>
        <w:t>人民币：4000元（大写：肆仟元整），资金已落实。</w:t>
      </w:r>
    </w:p>
    <w:p w14:paraId="3FEEA31A">
      <w:pPr>
        <w:pStyle w:val="8"/>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服务内容及需求：</w:t>
      </w:r>
    </w:p>
    <w:p w14:paraId="16C3BE85">
      <w:pPr>
        <w:pStyle w:val="8"/>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（1）服务内容：完成昆明鑫安道路设施维护有限公司清算工作，并出具清算报告。</w:t>
      </w:r>
    </w:p>
    <w:p w14:paraId="624FEECF">
      <w:pPr>
        <w:pStyle w:val="8"/>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（2）最近一个会计月结账日为审计基准日。</w:t>
      </w:r>
    </w:p>
    <w:p w14:paraId="19398B41">
      <w:pPr>
        <w:pStyle w:val="8"/>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val="0"/>
          <w:bCs w:val="0"/>
          <w:color w:val="auto"/>
          <w:sz w:val="24"/>
          <w:szCs w:val="24"/>
          <w:highlight w:val="none"/>
          <w:lang w:val="en-US" w:eastAsia="zh-CN"/>
        </w:rPr>
      </w:pPr>
      <w:r>
        <w:rPr>
          <w:rFonts w:hint="eastAsia" w:hAnsi="宋体" w:cs="宋体"/>
          <w:b/>
          <w:bCs/>
          <w:color w:val="auto"/>
          <w:sz w:val="24"/>
          <w:szCs w:val="24"/>
          <w:highlight w:val="none"/>
          <w:lang w:val="en-US" w:eastAsia="zh-CN"/>
        </w:rPr>
        <w:t>服务周期</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自合同签订之日起至服务工作结束</w:t>
      </w:r>
      <w:r>
        <w:rPr>
          <w:rFonts w:hint="eastAsia" w:hAnsi="宋体" w:eastAsia="宋体" w:cs="宋体"/>
          <w:b w:val="0"/>
          <w:bCs w:val="0"/>
          <w:color w:val="auto"/>
          <w:sz w:val="24"/>
          <w:szCs w:val="24"/>
          <w:highlight w:val="none"/>
          <w:lang w:val="en-US" w:eastAsia="zh-CN"/>
        </w:rPr>
        <w:t>。</w:t>
      </w:r>
    </w:p>
    <w:p w14:paraId="24B5DEDB">
      <w:pPr>
        <w:pStyle w:val="8"/>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val="0"/>
          <w:bCs w:val="0"/>
          <w:color w:val="auto"/>
          <w:sz w:val="24"/>
          <w:szCs w:val="24"/>
          <w:highlight w:val="none"/>
          <w:lang w:val="en-US" w:eastAsia="zh-CN"/>
        </w:rPr>
      </w:pPr>
      <w:r>
        <w:rPr>
          <w:rFonts w:hint="eastAsia" w:hAnsi="宋体" w:cs="宋体"/>
          <w:b/>
          <w:bCs/>
          <w:color w:val="auto"/>
          <w:sz w:val="24"/>
          <w:szCs w:val="24"/>
          <w:highlight w:val="none"/>
          <w:lang w:val="en-US" w:eastAsia="zh-CN"/>
        </w:rPr>
        <w:t>项目质量要求</w:t>
      </w:r>
      <w:r>
        <w:rPr>
          <w:rFonts w:hint="eastAsia" w:ascii="宋体" w:hAnsi="宋体" w:eastAsia="宋体" w:cs="宋体"/>
          <w:b/>
          <w:bCs/>
          <w:color w:val="auto"/>
          <w:sz w:val="24"/>
          <w:szCs w:val="24"/>
          <w:highlight w:val="none"/>
          <w:lang w:val="en-US" w:eastAsia="zh-CN"/>
        </w:rPr>
        <w:t>：</w:t>
      </w:r>
      <w:r>
        <w:rPr>
          <w:rFonts w:hint="eastAsia" w:ascii="宋体" w:hAnsi="宋体" w:cs="宋体"/>
          <w:color w:val="auto"/>
          <w:sz w:val="24"/>
          <w:szCs w:val="24"/>
          <w:highlight w:val="none"/>
          <w:lang w:eastAsia="zh-CN"/>
        </w:rPr>
        <w:t>符合现行国家、地方技术标准、规范，满足采购人的相关要求，保证</w:t>
      </w:r>
      <w:r>
        <w:rPr>
          <w:rFonts w:hint="eastAsia" w:hAnsi="宋体" w:cs="宋体"/>
          <w:color w:val="auto"/>
          <w:sz w:val="24"/>
          <w:szCs w:val="24"/>
          <w:highlight w:val="none"/>
          <w:lang w:val="en-US" w:eastAsia="zh-CN"/>
        </w:rPr>
        <w:t>服务要求</w:t>
      </w:r>
      <w:r>
        <w:rPr>
          <w:rFonts w:hint="eastAsia" w:ascii="宋体" w:hAnsi="宋体" w:cs="宋体"/>
          <w:color w:val="auto"/>
          <w:sz w:val="24"/>
          <w:szCs w:val="24"/>
          <w:highlight w:val="none"/>
          <w:lang w:val="en-US" w:eastAsia="zh-CN"/>
        </w:rPr>
        <w:t>及服务质量</w:t>
      </w:r>
      <w:r>
        <w:rPr>
          <w:rFonts w:hint="eastAsia" w:ascii="宋体" w:hAnsi="宋体" w:eastAsia="宋体" w:cs="宋体"/>
          <w:color w:val="auto"/>
          <w:sz w:val="24"/>
          <w:szCs w:val="24"/>
          <w:highlight w:val="none"/>
        </w:rPr>
        <w:t>。</w:t>
      </w:r>
    </w:p>
    <w:p w14:paraId="31FD4834">
      <w:pPr>
        <w:spacing w:line="520" w:lineRule="exact"/>
        <w:jc w:val="center"/>
        <w:outlineLvl w:val="0"/>
        <w:rPr>
          <w:rFonts w:hint="eastAsia" w:ascii="宋体" w:hAnsi="宋体" w:eastAsia="宋体" w:cs="宋体"/>
          <w:color w:val="auto"/>
          <w:sz w:val="36"/>
          <w:szCs w:val="36"/>
          <w:highlight w:val="none"/>
        </w:rPr>
      </w:pPr>
      <w:r>
        <w:rPr>
          <w:rFonts w:hint="eastAsia" w:ascii="宋体" w:hAnsi="宋体" w:eastAsia="宋体" w:cs="宋体"/>
          <w:color w:val="auto"/>
          <w:highlight w:val="none"/>
        </w:rPr>
        <w:br w:type="page"/>
      </w:r>
      <w:bookmarkStart w:id="149" w:name="_Toc640"/>
      <w:r>
        <w:rPr>
          <w:rFonts w:hint="eastAsia" w:ascii="宋体" w:hAnsi="宋体" w:eastAsia="宋体" w:cs="宋体"/>
          <w:color w:val="auto"/>
          <w:sz w:val="36"/>
          <w:szCs w:val="36"/>
          <w:highlight w:val="none"/>
        </w:rPr>
        <w:t>第五章 合同条款及格式</w:t>
      </w:r>
      <w:bookmarkEnd w:id="149"/>
    </w:p>
    <w:p w14:paraId="01542DCD">
      <w:pPr>
        <w:pStyle w:val="8"/>
        <w:rPr>
          <w:rFonts w:hint="eastAsia" w:ascii="宋体" w:hAnsi="宋体" w:eastAsia="宋体" w:cs="宋体"/>
          <w:color w:val="auto"/>
          <w:highlight w:val="none"/>
        </w:rPr>
      </w:pPr>
    </w:p>
    <w:p w14:paraId="3E0FE4A0">
      <w:pPr>
        <w:widowControl w:val="0"/>
        <w:spacing w:line="360" w:lineRule="auto"/>
        <w:jc w:val="center"/>
        <w:rPr>
          <w:rFonts w:hint="eastAsia" w:ascii="宋体" w:hAnsi="宋体" w:eastAsia="宋体" w:cs="Times New Roman"/>
          <w:color w:val="auto"/>
          <w:kern w:val="2"/>
          <w:sz w:val="24"/>
          <w:szCs w:val="24"/>
          <w:highlight w:val="none"/>
        </w:rPr>
      </w:pPr>
      <w:bookmarkStart w:id="150" w:name="_Toc3310630"/>
      <w:bookmarkStart w:id="151" w:name="Book35"/>
      <w:bookmarkStart w:id="152" w:name="_Toc3310381"/>
      <w:bookmarkStart w:id="153" w:name="_Toc3310537"/>
      <w:r>
        <w:rPr>
          <w:rFonts w:hint="eastAsia" w:ascii="宋体" w:hAnsi="宋体" w:eastAsia="宋体" w:cs="Times New Roman"/>
          <w:color w:val="auto"/>
          <w:kern w:val="2"/>
          <w:sz w:val="24"/>
          <w:szCs w:val="24"/>
          <w:highlight w:val="none"/>
        </w:rPr>
        <w:t>（具体条款由成交人及采购人另行协商签订，但不得改变</w:t>
      </w:r>
      <w:r>
        <w:rPr>
          <w:rFonts w:hint="eastAsia" w:ascii="宋体" w:hAnsi="宋体" w:eastAsia="宋体" w:cs="Times New Roman"/>
          <w:color w:val="auto"/>
          <w:kern w:val="2"/>
          <w:sz w:val="24"/>
          <w:szCs w:val="24"/>
          <w:highlight w:val="none"/>
          <w:lang w:val="en-US" w:eastAsia="zh-CN"/>
        </w:rPr>
        <w:t>询价</w:t>
      </w:r>
      <w:r>
        <w:rPr>
          <w:rFonts w:hint="eastAsia" w:ascii="宋体" w:hAnsi="宋体" w:eastAsia="宋体" w:cs="Times New Roman"/>
          <w:color w:val="auto"/>
          <w:kern w:val="2"/>
          <w:sz w:val="24"/>
          <w:szCs w:val="24"/>
          <w:highlight w:val="none"/>
        </w:rPr>
        <w:t>文件及成交人响应文件的实质性条款。）</w:t>
      </w:r>
    </w:p>
    <w:bookmarkEnd w:id="150"/>
    <w:bookmarkEnd w:id="151"/>
    <w:bookmarkEnd w:id="152"/>
    <w:bookmarkEnd w:id="153"/>
    <w:p w14:paraId="20806BAF">
      <w:pPr>
        <w:widowControl w:val="0"/>
        <w:autoSpaceDE w:val="0"/>
        <w:autoSpaceDN w:val="0"/>
        <w:adjustRightInd w:val="0"/>
        <w:spacing w:line="360" w:lineRule="auto"/>
        <w:ind w:right="-72"/>
        <w:rPr>
          <w:b/>
          <w:color w:val="auto"/>
          <w:sz w:val="18"/>
          <w:szCs w:val="18"/>
          <w:highlight w:val="none"/>
        </w:rPr>
      </w:pPr>
      <w:r>
        <w:rPr>
          <w:color w:val="auto"/>
          <w:highlight w:val="none"/>
        </w:rPr>
        <w:t xml:space="preserve">合同编号：                      合同自编号： </w:t>
      </w:r>
      <w:r>
        <w:rPr>
          <w:color w:val="auto"/>
          <w:highlight w:val="none"/>
        </w:rPr>
        <w:tab/>
      </w:r>
      <w:r>
        <w:rPr>
          <w:color w:val="auto"/>
          <w:highlight w:val="none"/>
        </w:rPr>
        <w:tab/>
      </w:r>
      <w:r>
        <w:rPr>
          <w:color w:val="auto"/>
          <w:highlight w:val="none"/>
        </w:rPr>
        <w:t xml:space="preserve">               项目编号：  </w:t>
      </w:r>
    </w:p>
    <w:p w14:paraId="59562860">
      <w:pPr>
        <w:widowControl w:val="0"/>
        <w:autoSpaceDE w:val="0"/>
        <w:autoSpaceDN w:val="0"/>
        <w:adjustRightInd w:val="0"/>
        <w:spacing w:line="360" w:lineRule="auto"/>
        <w:ind w:right="568"/>
        <w:rPr>
          <w:color w:val="auto"/>
          <w:sz w:val="32"/>
          <w:szCs w:val="32"/>
          <w:highlight w:val="none"/>
        </w:rPr>
      </w:pPr>
      <w:r>
        <w:rPr>
          <w:color w:val="auto"/>
          <w:sz w:val="32"/>
          <w:szCs w:val="32"/>
          <w:highlight w:val="none"/>
        </w:rPr>
        <w:t>●本合同须加盖甲乙双方骑缝章有效</w:t>
      </w:r>
    </w:p>
    <w:p w14:paraId="279F5297">
      <w:pPr>
        <w:widowControl w:val="0"/>
        <w:autoSpaceDE w:val="0"/>
        <w:autoSpaceDN w:val="0"/>
        <w:adjustRightInd w:val="0"/>
        <w:spacing w:line="360" w:lineRule="auto"/>
        <w:jc w:val="center"/>
        <w:rPr>
          <w:color w:val="auto"/>
          <w:sz w:val="32"/>
          <w:szCs w:val="32"/>
          <w:highlight w:val="none"/>
        </w:rPr>
      </w:pPr>
    </w:p>
    <w:p w14:paraId="74D868A7">
      <w:pPr>
        <w:widowControl w:val="0"/>
        <w:autoSpaceDE w:val="0"/>
        <w:autoSpaceDN w:val="0"/>
        <w:adjustRightInd w:val="0"/>
        <w:spacing w:line="360" w:lineRule="auto"/>
        <w:jc w:val="center"/>
        <w:rPr>
          <w:color w:val="auto"/>
          <w:sz w:val="32"/>
          <w:szCs w:val="32"/>
          <w:highlight w:val="none"/>
        </w:rPr>
      </w:pPr>
    </w:p>
    <w:p w14:paraId="6D100BBA">
      <w:pPr>
        <w:widowControl w:val="0"/>
        <w:autoSpaceDE w:val="0"/>
        <w:autoSpaceDN w:val="0"/>
        <w:adjustRightInd w:val="0"/>
        <w:spacing w:line="360" w:lineRule="auto"/>
        <w:jc w:val="center"/>
        <w:rPr>
          <w:rFonts w:hint="eastAsia"/>
          <w:b/>
          <w:color w:val="auto"/>
          <w:sz w:val="44"/>
          <w:szCs w:val="44"/>
          <w:highlight w:val="none"/>
          <w:lang w:val="en-US" w:eastAsia="zh-CN"/>
        </w:rPr>
      </w:pPr>
    </w:p>
    <w:p w14:paraId="612D761F">
      <w:pPr>
        <w:widowControl w:val="0"/>
        <w:autoSpaceDE w:val="0"/>
        <w:autoSpaceDN w:val="0"/>
        <w:adjustRightInd w:val="0"/>
        <w:spacing w:line="360" w:lineRule="auto"/>
        <w:jc w:val="center"/>
        <w:rPr>
          <w:b/>
          <w:color w:val="auto"/>
          <w:sz w:val="44"/>
          <w:szCs w:val="44"/>
          <w:highlight w:val="none"/>
        </w:rPr>
      </w:pPr>
      <w:r>
        <w:rPr>
          <w:rFonts w:hint="eastAsia"/>
          <w:b/>
          <w:color w:val="auto"/>
          <w:sz w:val="44"/>
          <w:szCs w:val="44"/>
          <w:highlight w:val="none"/>
          <w:lang w:val="en-US" w:eastAsia="zh-CN"/>
        </w:rPr>
        <w:t>服务</w:t>
      </w:r>
      <w:r>
        <w:rPr>
          <w:b/>
          <w:color w:val="auto"/>
          <w:sz w:val="44"/>
          <w:szCs w:val="44"/>
          <w:highlight w:val="none"/>
        </w:rPr>
        <w:t>类</w:t>
      </w:r>
    </w:p>
    <w:p w14:paraId="20B8AC2F">
      <w:pPr>
        <w:widowControl w:val="0"/>
        <w:autoSpaceDE w:val="0"/>
        <w:autoSpaceDN w:val="0"/>
        <w:adjustRightInd w:val="0"/>
        <w:spacing w:line="360" w:lineRule="auto"/>
        <w:jc w:val="center"/>
        <w:rPr>
          <w:b/>
          <w:color w:val="auto"/>
          <w:sz w:val="44"/>
          <w:szCs w:val="44"/>
          <w:highlight w:val="none"/>
        </w:rPr>
      </w:pPr>
      <w:r>
        <w:rPr>
          <w:color w:val="auto"/>
          <w:sz w:val="33"/>
          <w:szCs w:val="33"/>
          <w:highlight w:val="none"/>
        </w:rPr>
        <w:t>（委托采购）</w:t>
      </w:r>
    </w:p>
    <w:p w14:paraId="21F2F865">
      <w:pPr>
        <w:widowControl w:val="0"/>
        <w:autoSpaceDE w:val="0"/>
        <w:autoSpaceDN w:val="0"/>
        <w:adjustRightInd w:val="0"/>
        <w:spacing w:line="360" w:lineRule="auto"/>
        <w:jc w:val="center"/>
        <w:rPr>
          <w:color w:val="auto"/>
          <w:sz w:val="18"/>
          <w:szCs w:val="18"/>
          <w:highlight w:val="none"/>
        </w:rPr>
      </w:pPr>
    </w:p>
    <w:p w14:paraId="09279DB1">
      <w:pPr>
        <w:widowControl w:val="0"/>
        <w:autoSpaceDE w:val="0"/>
        <w:autoSpaceDN w:val="0"/>
        <w:adjustRightInd w:val="0"/>
        <w:spacing w:line="360" w:lineRule="auto"/>
        <w:jc w:val="center"/>
        <w:rPr>
          <w:color w:val="auto"/>
          <w:sz w:val="18"/>
          <w:szCs w:val="18"/>
          <w:highlight w:val="none"/>
        </w:rPr>
      </w:pPr>
    </w:p>
    <w:p w14:paraId="5186989B">
      <w:pPr>
        <w:widowControl w:val="0"/>
        <w:autoSpaceDE w:val="0"/>
        <w:autoSpaceDN w:val="0"/>
        <w:adjustRightInd w:val="0"/>
        <w:spacing w:line="360" w:lineRule="auto"/>
        <w:jc w:val="center"/>
        <w:rPr>
          <w:color w:val="auto"/>
          <w:sz w:val="84"/>
          <w:szCs w:val="84"/>
          <w:highlight w:val="none"/>
        </w:rPr>
      </w:pPr>
      <w:r>
        <w:rPr>
          <w:color w:val="auto"/>
          <w:sz w:val="84"/>
          <w:szCs w:val="84"/>
          <w:highlight w:val="none"/>
        </w:rPr>
        <w:t xml:space="preserve">合 </w:t>
      </w:r>
    </w:p>
    <w:p w14:paraId="66495B12">
      <w:pPr>
        <w:widowControl w:val="0"/>
        <w:autoSpaceDE w:val="0"/>
        <w:autoSpaceDN w:val="0"/>
        <w:adjustRightInd w:val="0"/>
        <w:spacing w:line="360" w:lineRule="auto"/>
        <w:jc w:val="center"/>
        <w:rPr>
          <w:color w:val="auto"/>
          <w:sz w:val="72"/>
          <w:szCs w:val="72"/>
          <w:highlight w:val="none"/>
        </w:rPr>
      </w:pPr>
      <w:r>
        <w:rPr>
          <w:color w:val="auto"/>
          <w:sz w:val="84"/>
          <w:szCs w:val="84"/>
          <w:highlight w:val="none"/>
        </w:rPr>
        <w:t xml:space="preserve">同 </w:t>
      </w:r>
    </w:p>
    <w:p w14:paraId="593F778E">
      <w:pPr>
        <w:widowControl w:val="0"/>
        <w:autoSpaceDE w:val="0"/>
        <w:autoSpaceDN w:val="0"/>
        <w:adjustRightInd w:val="0"/>
        <w:spacing w:line="360" w:lineRule="auto"/>
        <w:jc w:val="center"/>
        <w:rPr>
          <w:color w:val="auto"/>
          <w:sz w:val="84"/>
          <w:szCs w:val="84"/>
          <w:highlight w:val="none"/>
        </w:rPr>
      </w:pPr>
      <w:r>
        <w:rPr>
          <w:color w:val="auto"/>
          <w:sz w:val="84"/>
          <w:szCs w:val="84"/>
          <w:highlight w:val="none"/>
        </w:rPr>
        <w:t xml:space="preserve">书 </w:t>
      </w:r>
    </w:p>
    <w:p w14:paraId="31B3B2FE">
      <w:pPr>
        <w:widowControl w:val="0"/>
        <w:autoSpaceDE w:val="0"/>
        <w:autoSpaceDN w:val="0"/>
        <w:adjustRightInd w:val="0"/>
        <w:spacing w:line="360" w:lineRule="auto"/>
        <w:jc w:val="center"/>
        <w:rPr>
          <w:b/>
          <w:color w:val="auto"/>
          <w:sz w:val="28"/>
          <w:szCs w:val="28"/>
          <w:highlight w:val="none"/>
          <w:lang w:val="zh-CN"/>
        </w:rPr>
      </w:pPr>
      <w:r>
        <w:rPr>
          <w:b/>
          <w:color w:val="auto"/>
          <w:sz w:val="28"/>
          <w:szCs w:val="28"/>
          <w:highlight w:val="none"/>
          <w:lang w:val="zh-CN"/>
        </w:rPr>
        <w:t>签订地点：</w:t>
      </w:r>
    </w:p>
    <w:p w14:paraId="07E13293">
      <w:pPr>
        <w:widowControl w:val="0"/>
        <w:autoSpaceDE w:val="0"/>
        <w:autoSpaceDN w:val="0"/>
        <w:adjustRightInd w:val="0"/>
        <w:spacing w:line="360" w:lineRule="auto"/>
        <w:jc w:val="center"/>
        <w:rPr>
          <w:b/>
          <w:color w:val="auto"/>
          <w:sz w:val="28"/>
          <w:szCs w:val="28"/>
          <w:highlight w:val="none"/>
          <w:lang w:val="zh-CN"/>
        </w:rPr>
      </w:pPr>
      <w:r>
        <w:rPr>
          <w:b/>
          <w:color w:val="auto"/>
          <w:sz w:val="28"/>
          <w:szCs w:val="28"/>
          <w:highlight w:val="none"/>
          <w:lang w:val="zh-CN"/>
        </w:rPr>
        <w:t xml:space="preserve">签订日期：   </w:t>
      </w:r>
      <w:r>
        <w:rPr>
          <w:b/>
          <w:color w:val="auto"/>
          <w:sz w:val="28"/>
          <w:szCs w:val="28"/>
          <w:highlight w:val="none"/>
        </w:rPr>
        <w:t xml:space="preserve"> </w:t>
      </w:r>
      <w:r>
        <w:rPr>
          <w:b/>
          <w:color w:val="auto"/>
          <w:sz w:val="28"/>
          <w:szCs w:val="28"/>
          <w:highlight w:val="none"/>
          <w:lang w:val="zh-CN"/>
        </w:rPr>
        <w:t>年</w:t>
      </w:r>
      <w:r>
        <w:rPr>
          <w:b/>
          <w:color w:val="auto"/>
          <w:sz w:val="28"/>
          <w:szCs w:val="28"/>
          <w:highlight w:val="none"/>
        </w:rPr>
        <w:t xml:space="preserve">  </w:t>
      </w:r>
      <w:r>
        <w:rPr>
          <w:b/>
          <w:color w:val="auto"/>
          <w:sz w:val="28"/>
          <w:szCs w:val="28"/>
          <w:highlight w:val="none"/>
          <w:lang w:val="zh-CN"/>
        </w:rPr>
        <w:t>月</w:t>
      </w:r>
      <w:r>
        <w:rPr>
          <w:b/>
          <w:color w:val="auto"/>
          <w:sz w:val="28"/>
          <w:szCs w:val="28"/>
          <w:highlight w:val="none"/>
        </w:rPr>
        <w:t xml:space="preserve">  </w:t>
      </w:r>
      <w:r>
        <w:rPr>
          <w:b/>
          <w:color w:val="auto"/>
          <w:sz w:val="28"/>
          <w:szCs w:val="28"/>
          <w:highlight w:val="none"/>
          <w:lang w:val="zh-CN"/>
        </w:rPr>
        <w:t>日</w:t>
      </w:r>
    </w:p>
    <w:p w14:paraId="47644B71">
      <w:pPr>
        <w:spacing w:line="360" w:lineRule="auto"/>
        <w:ind w:firstLine="480" w:firstLineChars="200"/>
        <w:rPr>
          <w:rFonts w:hint="eastAsia" w:ascii="宋体" w:hAnsi="宋体" w:eastAsia="宋体"/>
          <w:color w:val="auto"/>
          <w:sz w:val="24"/>
          <w:szCs w:val="21"/>
          <w:highlight w:val="none"/>
          <w:lang w:eastAsia="zh-CN"/>
        </w:rPr>
      </w:pPr>
      <w:r>
        <w:rPr>
          <w:color w:val="auto"/>
          <w:sz w:val="24"/>
          <w:szCs w:val="24"/>
          <w:highlight w:val="none"/>
        </w:rPr>
        <w:br w:type="page"/>
      </w:r>
      <w:r>
        <w:rPr>
          <w:rFonts w:hint="eastAsia" w:ascii="宋体" w:hAnsi="宋体"/>
          <w:color w:val="auto"/>
          <w:sz w:val="24"/>
          <w:szCs w:val="21"/>
          <w:highlight w:val="none"/>
        </w:rPr>
        <w:t>甲方：</w:t>
      </w:r>
      <w:r>
        <w:rPr>
          <w:rFonts w:hint="eastAsia" w:ascii="宋体" w:hAnsi="宋体"/>
          <w:color w:val="auto"/>
          <w:sz w:val="24"/>
          <w:szCs w:val="21"/>
          <w:highlight w:val="none"/>
          <w:lang w:val="en-US" w:eastAsia="zh-CN"/>
        </w:rPr>
        <w:t xml:space="preserve"> </w:t>
      </w:r>
    </w:p>
    <w:p w14:paraId="25547461">
      <w:pPr>
        <w:spacing w:line="360" w:lineRule="auto"/>
        <w:ind w:firstLine="480" w:firstLineChars="200"/>
        <w:rPr>
          <w:rFonts w:hint="eastAsia" w:ascii="宋体" w:hAnsi="宋体" w:eastAsia="宋体"/>
          <w:color w:val="auto"/>
          <w:sz w:val="24"/>
          <w:szCs w:val="21"/>
          <w:highlight w:val="none"/>
          <w:lang w:eastAsia="zh-CN"/>
        </w:rPr>
      </w:pPr>
      <w:r>
        <w:rPr>
          <w:rFonts w:hint="eastAsia" w:ascii="宋体" w:hAnsi="宋体"/>
          <w:color w:val="auto"/>
          <w:sz w:val="24"/>
          <w:szCs w:val="21"/>
          <w:highlight w:val="none"/>
        </w:rPr>
        <w:t>乙方：</w:t>
      </w:r>
      <w:r>
        <w:rPr>
          <w:rFonts w:hint="eastAsia" w:ascii="宋体" w:hAnsi="宋体"/>
          <w:color w:val="auto"/>
          <w:sz w:val="24"/>
          <w:szCs w:val="21"/>
          <w:highlight w:val="none"/>
          <w:lang w:val="en-US" w:eastAsia="zh-CN"/>
        </w:rPr>
        <w:t xml:space="preserve"> </w:t>
      </w:r>
    </w:p>
    <w:p w14:paraId="37A3F24A">
      <w:pPr>
        <w:spacing w:line="360" w:lineRule="auto"/>
        <w:ind w:firstLine="482" w:firstLineChars="200"/>
        <w:rPr>
          <w:rFonts w:hint="eastAsia" w:ascii="宋体" w:hAnsi="宋体"/>
          <w:b/>
          <w:color w:val="auto"/>
          <w:sz w:val="24"/>
          <w:szCs w:val="21"/>
          <w:highlight w:val="none"/>
        </w:rPr>
      </w:pPr>
      <w:r>
        <w:rPr>
          <w:rFonts w:hint="eastAsia" w:ascii="宋体" w:hAnsi="宋体"/>
          <w:b/>
          <w:color w:val="auto"/>
          <w:sz w:val="24"/>
          <w:szCs w:val="21"/>
          <w:highlight w:val="none"/>
        </w:rPr>
        <w:t>一、业务范围与审计目标</w:t>
      </w:r>
    </w:p>
    <w:p w14:paraId="6CF3D188">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乙方接受甲方委托，在以甲方</w:t>
      </w:r>
      <w:r>
        <w:rPr>
          <w:rFonts w:hint="eastAsia" w:ascii="宋体" w:hAnsi="宋体"/>
          <w:iCs/>
          <w:color w:val="auto"/>
          <w:sz w:val="24"/>
          <w:szCs w:val="21"/>
          <w:highlight w:val="none"/>
        </w:rPr>
        <w:t>确定的清算审计基准日的基础上，</w:t>
      </w:r>
      <w:r>
        <w:rPr>
          <w:rFonts w:ascii="宋体" w:hAnsi="宋体"/>
          <w:iCs/>
          <w:color w:val="auto"/>
          <w:sz w:val="24"/>
          <w:szCs w:val="21"/>
          <w:highlight w:val="none"/>
        </w:rPr>
        <w:t>对</w:t>
      </w:r>
      <w:r>
        <w:rPr>
          <w:rFonts w:hint="eastAsia" w:ascii="宋体" w:hAnsi="宋体"/>
          <w:iCs/>
          <w:color w:val="auto"/>
          <w:sz w:val="24"/>
          <w:szCs w:val="21"/>
          <w:highlight w:val="none"/>
        </w:rPr>
        <w:t>甲方开展清算</w:t>
      </w:r>
      <w:r>
        <w:rPr>
          <w:rFonts w:ascii="宋体" w:hAnsi="宋体"/>
          <w:iCs/>
          <w:color w:val="auto"/>
          <w:sz w:val="24"/>
          <w:szCs w:val="21"/>
          <w:highlight w:val="none"/>
        </w:rPr>
        <w:t>审计，发表审计意见</w:t>
      </w:r>
      <w:r>
        <w:rPr>
          <w:rFonts w:hint="eastAsia" w:ascii="宋体" w:hAnsi="宋体"/>
          <w:iCs/>
          <w:color w:val="auto"/>
          <w:sz w:val="24"/>
          <w:szCs w:val="21"/>
          <w:highlight w:val="none"/>
        </w:rPr>
        <w:t>，出具清算审计报告</w:t>
      </w:r>
      <w:r>
        <w:rPr>
          <w:rFonts w:hint="eastAsia" w:ascii="宋体" w:hAnsi="宋体"/>
          <w:color w:val="auto"/>
          <w:sz w:val="24"/>
          <w:szCs w:val="21"/>
          <w:highlight w:val="none"/>
        </w:rPr>
        <w:t>。</w:t>
      </w:r>
    </w:p>
    <w:p w14:paraId="6DD00CCB">
      <w:pPr>
        <w:spacing w:line="360" w:lineRule="auto"/>
        <w:ind w:firstLine="482" w:firstLineChars="200"/>
        <w:rPr>
          <w:rFonts w:hint="eastAsia" w:ascii="宋体" w:hAnsi="宋体"/>
          <w:b/>
          <w:color w:val="auto"/>
          <w:sz w:val="24"/>
          <w:szCs w:val="21"/>
          <w:highlight w:val="none"/>
        </w:rPr>
      </w:pPr>
      <w:r>
        <w:rPr>
          <w:rFonts w:hint="eastAsia" w:ascii="宋体" w:hAnsi="宋体"/>
          <w:b/>
          <w:color w:val="auto"/>
          <w:sz w:val="24"/>
          <w:szCs w:val="21"/>
          <w:highlight w:val="none"/>
        </w:rPr>
        <w:t>二、甲方的责任与义务</w:t>
      </w:r>
    </w:p>
    <w:p w14:paraId="09B7AEF8">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（一）甲方的责任</w:t>
      </w:r>
    </w:p>
    <w:p w14:paraId="6B322523">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1、根据《中华人民共和国会计法》及《企业财务会计报告条例》，甲方及甲方管理负责人有责任保证会计资料的真实性和完整性。因此，甲方管理层有责任妥善保存和提供会计记录（包括但不限于会计凭证、会计账簿及其他会计资料），这些记录必须真实、完整地反映甲方的财务状况、经营成果和现金流量。</w:t>
      </w:r>
    </w:p>
    <w:p w14:paraId="5488AFC5">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2、按照企业会计准则的规定编制财务报表是甲方管理层的责任，这种责任包括：（1）设计、实施和维护与财务报表编制相关的内部控制，以使财务报表不存在由于舞弊或错误而导致的重大错报；（2）选择和运用恰当的会计政策；（3）作出合理的会计估计。</w:t>
      </w:r>
    </w:p>
    <w:p w14:paraId="59C6C3B0">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（二）甲方的义务</w:t>
      </w:r>
    </w:p>
    <w:p w14:paraId="547798A6">
      <w:pPr>
        <w:spacing w:line="360" w:lineRule="auto"/>
        <w:ind w:left="400" w:leftChars="200"/>
        <w:rPr>
          <w:rFonts w:hint="eastAsia" w:ascii="宋体" w:hAnsi="宋体"/>
          <w:color w:val="auto"/>
          <w:sz w:val="24"/>
          <w:szCs w:val="21"/>
          <w:highlight w:val="none"/>
        </w:rPr>
      </w:pPr>
      <w:r>
        <w:rPr>
          <w:rFonts w:hint="eastAsia" w:ascii="宋体" w:hAnsi="宋体"/>
          <w:color w:val="auto"/>
          <w:sz w:val="24"/>
          <w:szCs w:val="21"/>
          <w:highlight w:val="none"/>
        </w:rPr>
        <w:t xml:space="preserve">1、及时为乙方的审计工作提供其所要求的全部会计资料和其他有关资料（在  </w:t>
      </w:r>
      <w:r>
        <w:rPr>
          <w:rFonts w:ascii="宋体" w:hAnsi="宋体"/>
          <w:color w:val="auto"/>
          <w:sz w:val="24"/>
          <w:szCs w:val="21"/>
          <w:highlight w:val="none"/>
        </w:rPr>
        <w:t xml:space="preserve">  </w:t>
      </w:r>
      <w:r>
        <w:rPr>
          <w:rFonts w:hint="eastAsia" w:ascii="宋体" w:hAnsi="宋体"/>
          <w:color w:val="auto"/>
          <w:sz w:val="24"/>
          <w:szCs w:val="21"/>
          <w:highlight w:val="none"/>
        </w:rPr>
        <w:t>年  月  日之前提供审计所需的全部资料），并保证所提供资料的真实性和完整性。</w:t>
      </w:r>
    </w:p>
    <w:p w14:paraId="60F7E3F2">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2、确保乙方不受限制的接触任何与审计有关的记录、文件和所需的其他信息。</w:t>
      </w:r>
    </w:p>
    <w:p w14:paraId="4BF3BA12">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3、为满足乙方对甲方合并财务报表发表审计意见的需要，甲方须确保：</w:t>
      </w:r>
    </w:p>
    <w:p w14:paraId="66EE6BEE">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（1）乙方和为组成部分执行审计的其他会计师事务所的注册会计师（以下简称其他注</w:t>
      </w:r>
    </w:p>
    <w:p w14:paraId="39B8D52A">
      <w:pPr>
        <w:spacing w:line="360" w:lineRule="auto"/>
        <w:rPr>
          <w:rFonts w:hint="eastAsia" w:ascii="宋体" w:hAnsi="宋体"/>
          <w:color w:val="auto"/>
          <w:sz w:val="24"/>
          <w:szCs w:val="21"/>
          <w:highlight w:val="none"/>
        </w:rPr>
      </w:pPr>
      <w:r>
        <w:rPr>
          <w:rFonts w:hint="eastAsia" w:ascii="宋体" w:hAnsi="宋体"/>
          <w:color w:val="auto"/>
          <w:sz w:val="24"/>
          <w:szCs w:val="21"/>
          <w:highlight w:val="none"/>
        </w:rPr>
        <w:t>册会计师）之间的沟通不受任何限制。</w:t>
      </w:r>
    </w:p>
    <w:p w14:paraId="09BA71DB">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（2）组成部分是指甲方的子公司、分部、分公司、合营企业、联营企业等。</w:t>
      </w:r>
    </w:p>
    <w:p w14:paraId="41E91564">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3）如果甲方的管理层、负责编制组成部分财务信息的管理层（以下简称组成部分管理层）对其他注册会计师的审计范围施加了限制，或客观环境使其他注册会计师的审计范围受限制，甲方管理层和组成部分管理层应当及时告知乙方。</w:t>
      </w:r>
    </w:p>
    <w:p w14:paraId="24C39013">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（4）乙方及时获悉其他注册会计师与组成部份治理层和管理层之间的重要沟通（包括就内部控制重大缺陷进行的沟通）。</w:t>
      </w:r>
    </w:p>
    <w:p w14:paraId="4DF063E3">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（5）乙方及时获悉组成部分治理层和管理层与监管机构就财务信息事项进行的重要沟通。</w:t>
      </w:r>
    </w:p>
    <w:p w14:paraId="497DED01">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（6）在乙方认为必要时，允许乙方接触组成部分信息、组成部分管理层或其他注册会计师（包括其他注册会计师的审计工作底稿），并允许乙方对组成部分的财务信息实施审计程序。</w:t>
      </w:r>
    </w:p>
    <w:p w14:paraId="6FA9411A">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4、甲方管理层对其作出的与审计有关的声明予以书面确认。</w:t>
      </w:r>
    </w:p>
    <w:p w14:paraId="2CA90700">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5、为乙方派出的工作人员提供必须的工作条件和协助，主要事项将由乙方于外勤工作开始提前提供清单。</w:t>
      </w:r>
    </w:p>
    <w:p w14:paraId="6BA6383F">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6、按本约定书的约定及时足额支付审计费用以及乙方人员在审计期间的交通、食宿和其他相关费用。</w:t>
      </w:r>
    </w:p>
    <w:p w14:paraId="138605E8">
      <w:pPr>
        <w:spacing w:line="360" w:lineRule="auto"/>
        <w:ind w:firstLine="482" w:firstLineChars="200"/>
        <w:rPr>
          <w:rFonts w:hint="eastAsia" w:ascii="宋体" w:hAnsi="宋体"/>
          <w:b/>
          <w:color w:val="auto"/>
          <w:sz w:val="24"/>
          <w:szCs w:val="21"/>
          <w:highlight w:val="none"/>
        </w:rPr>
      </w:pPr>
      <w:r>
        <w:rPr>
          <w:rFonts w:hint="eastAsia" w:ascii="宋体" w:hAnsi="宋体"/>
          <w:b/>
          <w:color w:val="auto"/>
          <w:sz w:val="24"/>
          <w:szCs w:val="21"/>
          <w:highlight w:val="none"/>
        </w:rPr>
        <w:t>三、乙方的责任与义务</w:t>
      </w:r>
    </w:p>
    <w:p w14:paraId="448B087D">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（一）乙方的责任</w:t>
      </w:r>
    </w:p>
    <w:p w14:paraId="43F003A9">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1、乙方的责任是在甲方</w:t>
      </w:r>
      <w:r>
        <w:rPr>
          <w:rFonts w:hint="eastAsia" w:ascii="宋体" w:hAnsi="宋体"/>
          <w:iCs/>
          <w:color w:val="auto"/>
          <w:sz w:val="24"/>
          <w:szCs w:val="21"/>
          <w:highlight w:val="none"/>
        </w:rPr>
        <w:t>确定的清算审计基准日的基础上，</w:t>
      </w:r>
      <w:r>
        <w:rPr>
          <w:rFonts w:ascii="宋体" w:hAnsi="宋体"/>
          <w:iCs/>
          <w:color w:val="auto"/>
          <w:sz w:val="24"/>
          <w:szCs w:val="21"/>
          <w:highlight w:val="none"/>
        </w:rPr>
        <w:t>对</w:t>
      </w:r>
      <w:r>
        <w:rPr>
          <w:rFonts w:hint="eastAsia" w:ascii="宋体" w:hAnsi="宋体"/>
          <w:iCs/>
          <w:color w:val="auto"/>
          <w:sz w:val="24"/>
          <w:szCs w:val="21"/>
          <w:highlight w:val="none"/>
        </w:rPr>
        <w:t>甲方开展清算</w:t>
      </w:r>
      <w:r>
        <w:rPr>
          <w:rFonts w:ascii="宋体" w:hAnsi="宋体"/>
          <w:iCs/>
          <w:color w:val="auto"/>
          <w:sz w:val="24"/>
          <w:szCs w:val="21"/>
          <w:highlight w:val="none"/>
        </w:rPr>
        <w:t>审计，发表审计意见</w:t>
      </w:r>
      <w:r>
        <w:rPr>
          <w:rFonts w:hint="eastAsia" w:ascii="宋体" w:hAnsi="宋体"/>
          <w:iCs/>
          <w:color w:val="auto"/>
          <w:sz w:val="24"/>
          <w:szCs w:val="21"/>
          <w:highlight w:val="none"/>
        </w:rPr>
        <w:t>，出具清算审计报告</w:t>
      </w:r>
      <w:r>
        <w:rPr>
          <w:rFonts w:hint="eastAsia" w:ascii="宋体" w:hAnsi="宋体"/>
          <w:color w:val="auto"/>
          <w:sz w:val="24"/>
          <w:szCs w:val="21"/>
          <w:highlight w:val="none"/>
        </w:rPr>
        <w:t>。乙方按照中国注册会计师审计准则（以下简称审计准则）的规定进行审计。审计准则要求注册会计师遵守职业道德规范，计划实施和审计工作，以对财务报表是否不存在重大错报获取合理保证。</w:t>
      </w:r>
    </w:p>
    <w:p w14:paraId="63305285">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2、乙方不对非由乙方审计组成部分的财务信息单独出具审计报告；有关的责任由对该组成部分执行审计的其他注册会计师及其所在会计师事务所承担。</w:t>
      </w:r>
    </w:p>
    <w:p w14:paraId="1F61568F">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3、审计工作涉及实施审计工作程序，以获取有关财务报表金额和披露的审计证据。选择的审计程序取决于乙方的判断，包括对由于舞弊或错误导致的财务报表重大错报风险的评估。在进行风险评估时，乙方考虑与财务报表编制的相关的内部控制，以设计恰当的审计程序，但目的并非对内控的有效性发表意见。审计工作还包括评价管理层选用会计政策的恰当性和作出会计估计的合理性，以及评价财务报表的总体列报。</w:t>
      </w:r>
    </w:p>
    <w:p w14:paraId="53E9A1C8">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4、乙方需要合理计划和实施审计工作，以使乙方能够获取充分、适当的审计证据，为甲方财务报表是否不存在重大错报获取合理保证。</w:t>
      </w:r>
    </w:p>
    <w:p w14:paraId="4DE51056">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5、乙方有责任在审计报告中指明所发现的甲方在某重大方面没有遵循企业会计准则编制财务报表且未按乙方的建议进行调整的事项。</w:t>
      </w:r>
    </w:p>
    <w:p w14:paraId="071DA0B4">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6、由于测试的性质和审计的其他固有限制，以及内部控制的固有局限性，不可避免的存在着某些重大错报在审计后可能仍然未被乙方发现的风险。</w:t>
      </w:r>
    </w:p>
    <w:p w14:paraId="343EA47F">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7、审计过程中，乙方若发现甲方内部控制存在乙方认为的重要缺陷，应向甲方治理层或管理层沟通。但乙方沟通各种事项，并不代表已全面说明所有可能存在的缺陷或已提出所有可行的改善建议。甲方在实施乙方提出的改善建议前应全面评估其影响。未经乙方书面许可，甲方不得向任何第三方提供乙方出具的沟通文件。</w:t>
      </w:r>
    </w:p>
    <w:p w14:paraId="21177C70">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8、乙方的审计不能减轻甲方及甲方管理层的责任。</w:t>
      </w:r>
    </w:p>
    <w:p w14:paraId="586EFBE8">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（二）乙方的义务</w:t>
      </w:r>
    </w:p>
    <w:p w14:paraId="6E54462B">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1、按照约定时间完成清算审计工作，于     年     月     日出具审计报告。</w:t>
      </w:r>
    </w:p>
    <w:p w14:paraId="70C59673">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2、除下列情况外，乙方应当对执行业务过程中知悉的甲方信息予以保密：（1）取得甲方的授权；（2）根据法律法规的规定，为法律诉讼准备文件或提供证据，以及向监管机构报告发现的违反法规行为；（3）接受行业协会和监管机构依法进行的质量检查；（4）监管机构对乙方进行行政处罚（包括监管机构处罚前的调查、听证）以及乙方对此提起行政复议。</w:t>
      </w:r>
    </w:p>
    <w:p w14:paraId="253E5B53">
      <w:pPr>
        <w:spacing w:line="360" w:lineRule="auto"/>
        <w:ind w:firstLine="482" w:firstLineChars="200"/>
        <w:rPr>
          <w:rFonts w:hint="eastAsia" w:ascii="宋体" w:hAnsi="宋体"/>
          <w:b/>
          <w:color w:val="auto"/>
          <w:sz w:val="24"/>
          <w:szCs w:val="21"/>
          <w:highlight w:val="none"/>
        </w:rPr>
      </w:pPr>
      <w:r>
        <w:rPr>
          <w:rFonts w:hint="eastAsia" w:ascii="宋体" w:hAnsi="宋体"/>
          <w:b/>
          <w:color w:val="auto"/>
          <w:sz w:val="24"/>
          <w:szCs w:val="21"/>
          <w:highlight w:val="none"/>
        </w:rPr>
        <w:t>四、审计收费</w:t>
      </w:r>
    </w:p>
    <w:p w14:paraId="74388399">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（一）本次清算审计服务费用总额为(大写)人民币</w:t>
      </w:r>
      <w:r>
        <w:rPr>
          <w:rFonts w:hint="eastAsia" w:ascii="宋体" w:hAnsi="宋体"/>
          <w:color w:val="auto"/>
          <w:sz w:val="24"/>
          <w:szCs w:val="21"/>
          <w:highlight w:val="none"/>
          <w:u w:val="single"/>
          <w:lang w:val="en-US" w:eastAsia="zh-CN"/>
        </w:rPr>
        <w:t xml:space="preserve">   </w:t>
      </w:r>
      <w:r>
        <w:rPr>
          <w:rFonts w:hint="eastAsia" w:ascii="宋体" w:hAnsi="宋体"/>
          <w:color w:val="auto"/>
          <w:sz w:val="24"/>
          <w:szCs w:val="21"/>
          <w:highlight w:val="none"/>
        </w:rPr>
        <w:t>整（RMB</w:t>
      </w:r>
      <w:r>
        <w:rPr>
          <w:rFonts w:hint="eastAsia" w:ascii="宋体" w:hAnsi="宋体"/>
          <w:color w:val="auto"/>
          <w:sz w:val="24"/>
          <w:szCs w:val="21"/>
          <w:highlight w:val="none"/>
          <w:u w:val="single"/>
          <w:lang w:val="en-US" w:eastAsia="zh-CN"/>
        </w:rPr>
        <w:t xml:space="preserve">      </w:t>
      </w:r>
      <w:r>
        <w:rPr>
          <w:rFonts w:hint="eastAsia" w:ascii="宋体" w:hAnsi="宋体"/>
          <w:color w:val="auto"/>
          <w:sz w:val="24"/>
          <w:szCs w:val="21"/>
          <w:highlight w:val="none"/>
        </w:rPr>
        <w:t>元），其中，不含税金额</w:t>
      </w:r>
      <w:r>
        <w:rPr>
          <w:rFonts w:hint="eastAsia" w:ascii="宋体" w:hAnsi="宋体"/>
          <w:color w:val="auto"/>
          <w:sz w:val="24"/>
          <w:szCs w:val="21"/>
          <w:highlight w:val="none"/>
          <w:u w:val="single"/>
          <w:lang w:val="en-US" w:eastAsia="zh-CN"/>
        </w:rPr>
        <w:t xml:space="preserve">      </w:t>
      </w:r>
      <w:r>
        <w:rPr>
          <w:rFonts w:hint="eastAsia" w:ascii="宋体" w:hAnsi="宋体"/>
          <w:color w:val="auto"/>
          <w:sz w:val="24"/>
          <w:szCs w:val="21"/>
          <w:highlight w:val="none"/>
        </w:rPr>
        <w:t>元，税金</w:t>
      </w:r>
      <w:r>
        <w:rPr>
          <w:rFonts w:hint="eastAsia" w:ascii="宋体" w:hAnsi="宋体"/>
          <w:color w:val="auto"/>
          <w:sz w:val="24"/>
          <w:szCs w:val="21"/>
          <w:highlight w:val="none"/>
          <w:u w:val="single"/>
          <w:lang w:val="en-US" w:eastAsia="zh-CN"/>
        </w:rPr>
        <w:t xml:space="preserve">    </w:t>
      </w:r>
      <w:r>
        <w:rPr>
          <w:rFonts w:hint="eastAsia" w:ascii="宋体" w:hAnsi="宋体"/>
          <w:color w:val="auto"/>
          <w:sz w:val="24"/>
          <w:szCs w:val="21"/>
          <w:highlight w:val="none"/>
        </w:rPr>
        <w:t>元，税率</w:t>
      </w:r>
      <w:r>
        <w:rPr>
          <w:rFonts w:hint="eastAsia" w:ascii="宋体" w:hAnsi="宋体"/>
          <w:color w:val="auto"/>
          <w:sz w:val="24"/>
          <w:szCs w:val="21"/>
          <w:highlight w:val="none"/>
          <w:u w:val="single"/>
          <w:lang w:val="en-US" w:eastAsia="zh-CN"/>
        </w:rPr>
        <w:t xml:space="preserve">     </w:t>
      </w:r>
      <w:r>
        <w:rPr>
          <w:rFonts w:hint="eastAsia" w:ascii="宋体" w:hAnsi="宋体"/>
          <w:color w:val="auto"/>
          <w:sz w:val="24"/>
          <w:szCs w:val="21"/>
          <w:highlight w:val="none"/>
        </w:rPr>
        <w:t>%。</w:t>
      </w:r>
    </w:p>
    <w:p w14:paraId="204735BC">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（二）甲方应于审计报告完成后一次性结清上述费用。</w:t>
      </w:r>
    </w:p>
    <w:p w14:paraId="7071D86B">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（三）如果由于无法预见的原因，致使乙方从事本约定书所涉及的审计服务实际时间较本约定书签订时预计的时间有明显增加或减少时，甲乙双方应通过协商，相应调整本约定书第四条第1项下所述的审计费用。</w:t>
      </w:r>
    </w:p>
    <w:p w14:paraId="546FD498">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四）如果由于无法预见的原因，致使乙方人员抵达甲方的工作现场后，本约定书所涉及的审计服务不再进行，甲方不得要求退还预付的审计费用；如上述情况发生于乙方人员完成现场审计工作，并离开甲方的工作现场之后，甲方应另行向乙方支付人民币</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元的补偿费，该补偿费应于甲方收到乙方的收款通知之日起</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日内支付。</w:t>
      </w:r>
    </w:p>
    <w:p w14:paraId="3C51545F">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（五）与本次审计有关的其他费用（包括交通费、食宿费等）由</w:t>
      </w:r>
      <w:r>
        <w:rPr>
          <w:rFonts w:hint="eastAsia" w:ascii="宋体" w:hAnsi="宋体"/>
          <w:color w:val="auto"/>
          <w:sz w:val="24"/>
          <w:szCs w:val="21"/>
          <w:highlight w:val="none"/>
          <w:u w:val="single"/>
          <w:lang w:val="en-US" w:eastAsia="zh-CN"/>
        </w:rPr>
        <w:t xml:space="preserve">     </w:t>
      </w:r>
      <w:r>
        <w:rPr>
          <w:rFonts w:hint="eastAsia" w:ascii="宋体" w:hAnsi="宋体"/>
          <w:color w:val="auto"/>
          <w:sz w:val="24"/>
          <w:szCs w:val="21"/>
          <w:highlight w:val="none"/>
        </w:rPr>
        <w:t>承担。</w:t>
      </w:r>
    </w:p>
    <w:p w14:paraId="6ADEFB46">
      <w:pPr>
        <w:spacing w:line="360" w:lineRule="auto"/>
        <w:ind w:firstLine="482" w:firstLineChars="200"/>
        <w:rPr>
          <w:rFonts w:hint="eastAsia" w:ascii="宋体" w:hAnsi="宋体"/>
          <w:b/>
          <w:color w:val="auto"/>
          <w:sz w:val="24"/>
          <w:szCs w:val="21"/>
          <w:highlight w:val="none"/>
        </w:rPr>
      </w:pPr>
      <w:r>
        <w:rPr>
          <w:rFonts w:hint="eastAsia" w:ascii="宋体" w:hAnsi="宋体"/>
          <w:b/>
          <w:color w:val="auto"/>
          <w:sz w:val="24"/>
          <w:szCs w:val="21"/>
          <w:highlight w:val="none"/>
        </w:rPr>
        <w:t>五、审计报告和审计报告的使用</w:t>
      </w:r>
    </w:p>
    <w:p w14:paraId="775B4203">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（一）乙方向甲方致送审计报告一式肆份。</w:t>
      </w:r>
    </w:p>
    <w:p w14:paraId="3D1914B2">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二）甲方在提交或对外公布审计报告时，不得修改乙方出具的审计报告及其后附的已审计财务报表。当甲方认为有必要修改会计数据、报表附注和所作的说明时，应当事先通知乙方，乙方将考虑有关修改对审计报告的影响，必要时，将重新出具审计报告。</w:t>
      </w:r>
    </w:p>
    <w:p w14:paraId="7BFCFA52">
      <w:pPr>
        <w:spacing w:line="360" w:lineRule="auto"/>
        <w:ind w:firstLine="482" w:firstLineChars="200"/>
        <w:rPr>
          <w:rFonts w:hint="eastAsia" w:ascii="宋体" w:hAnsi="宋体"/>
          <w:b/>
          <w:color w:val="auto"/>
          <w:sz w:val="24"/>
          <w:szCs w:val="21"/>
          <w:highlight w:val="none"/>
        </w:rPr>
      </w:pPr>
      <w:r>
        <w:rPr>
          <w:rFonts w:hint="eastAsia" w:ascii="宋体" w:hAnsi="宋体"/>
          <w:b/>
          <w:color w:val="auto"/>
          <w:sz w:val="24"/>
          <w:szCs w:val="21"/>
          <w:highlight w:val="none"/>
        </w:rPr>
        <w:t>六、本约定书的有效期限</w:t>
      </w:r>
    </w:p>
    <w:p w14:paraId="55C02AE4">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本约定书自签署之日起生效，并在双方履行完毕本约定书约定的所有义务后终止。但其中第三（二）2、四、五、六、八、九、十项并不因本约定书终止而失效。</w:t>
      </w:r>
    </w:p>
    <w:p w14:paraId="6492B2E4">
      <w:pPr>
        <w:spacing w:line="360" w:lineRule="auto"/>
        <w:ind w:firstLine="482" w:firstLineChars="200"/>
        <w:rPr>
          <w:rFonts w:hint="eastAsia" w:ascii="宋体" w:hAnsi="宋体"/>
          <w:b/>
          <w:color w:val="auto"/>
          <w:sz w:val="24"/>
          <w:szCs w:val="21"/>
          <w:highlight w:val="none"/>
        </w:rPr>
      </w:pPr>
      <w:r>
        <w:rPr>
          <w:rFonts w:hint="eastAsia" w:ascii="宋体" w:hAnsi="宋体"/>
          <w:b/>
          <w:color w:val="auto"/>
          <w:sz w:val="24"/>
          <w:szCs w:val="21"/>
          <w:highlight w:val="none"/>
        </w:rPr>
        <w:t>七、约定事项的变更</w:t>
      </w:r>
    </w:p>
    <w:p w14:paraId="4AF66FAD">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如果出现不可预见的情况，影响审计工作如期完成，或需要提前出具审计报告，甲乙双方均可要求变更约定事项，但应及时通知对方，并由双方协商解决。</w:t>
      </w:r>
    </w:p>
    <w:p w14:paraId="49019D0B">
      <w:pPr>
        <w:spacing w:line="360" w:lineRule="auto"/>
        <w:ind w:firstLine="482" w:firstLineChars="200"/>
        <w:rPr>
          <w:rFonts w:hint="eastAsia" w:ascii="宋体" w:hAnsi="宋体"/>
          <w:b/>
          <w:color w:val="auto"/>
          <w:sz w:val="24"/>
          <w:szCs w:val="21"/>
          <w:highlight w:val="none"/>
        </w:rPr>
      </w:pPr>
      <w:r>
        <w:rPr>
          <w:rFonts w:hint="eastAsia" w:ascii="宋体" w:hAnsi="宋体"/>
          <w:b/>
          <w:color w:val="auto"/>
          <w:sz w:val="24"/>
          <w:szCs w:val="21"/>
          <w:highlight w:val="none"/>
        </w:rPr>
        <w:t>八、终止条款</w:t>
      </w:r>
    </w:p>
    <w:p w14:paraId="5F6349F8">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一）如果根据乙方的职业道德及其他有关专业职责、适用的法律法规或其他任何法定的要求，乙方认为已不适宜继续为甲方提供本约定书约定的审计服务时。乙方可以采取向甲方提出合理通知的方式终止履行本约定书。</w:t>
      </w:r>
    </w:p>
    <w:p w14:paraId="1DD353FF">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（二）在终止业务约定的情况下，乙方有权就其于本约定书终止之日前对约定的审计服务项目所作的工作收取合理的审计费用。</w:t>
      </w:r>
    </w:p>
    <w:p w14:paraId="475151B3">
      <w:pPr>
        <w:spacing w:line="360" w:lineRule="auto"/>
        <w:ind w:firstLine="482" w:firstLineChars="200"/>
        <w:rPr>
          <w:rFonts w:hint="eastAsia" w:ascii="宋体" w:hAnsi="宋体"/>
          <w:b/>
          <w:color w:val="auto"/>
          <w:sz w:val="24"/>
          <w:szCs w:val="21"/>
          <w:highlight w:val="none"/>
        </w:rPr>
      </w:pPr>
      <w:r>
        <w:rPr>
          <w:rFonts w:hint="eastAsia" w:ascii="宋体" w:hAnsi="宋体"/>
          <w:b/>
          <w:color w:val="auto"/>
          <w:sz w:val="24"/>
          <w:szCs w:val="21"/>
          <w:highlight w:val="none"/>
        </w:rPr>
        <w:t>九、违约责任</w:t>
      </w:r>
    </w:p>
    <w:p w14:paraId="521FC649">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甲、乙双方按照《中华人民共和国合同法》的规定承担违约责任。</w:t>
      </w:r>
    </w:p>
    <w:p w14:paraId="1B0004E4">
      <w:pPr>
        <w:spacing w:line="360" w:lineRule="auto"/>
        <w:ind w:firstLine="482" w:firstLineChars="200"/>
        <w:rPr>
          <w:rFonts w:hint="eastAsia" w:ascii="宋体" w:hAnsi="宋体"/>
          <w:b/>
          <w:color w:val="auto"/>
          <w:sz w:val="24"/>
          <w:szCs w:val="21"/>
          <w:highlight w:val="none"/>
        </w:rPr>
      </w:pPr>
      <w:r>
        <w:rPr>
          <w:rFonts w:hint="eastAsia" w:ascii="宋体" w:hAnsi="宋体"/>
          <w:b/>
          <w:color w:val="auto"/>
          <w:sz w:val="24"/>
          <w:szCs w:val="21"/>
          <w:highlight w:val="none"/>
        </w:rPr>
        <w:t>十、适用法律和争议解决</w:t>
      </w:r>
    </w:p>
    <w:p w14:paraId="2C63900E">
      <w:pPr>
        <w:spacing w:line="360" w:lineRule="auto"/>
        <w:ind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本约定书所有方面均适用中华人民共和国法律进行解释并受其约束。本约定书履行地为乙方出具审计报告所在地，因本约定书所引起的或与本约定书有关的任何纠纷或争议（包括关于本约定书条款的存在、效力终止，或无效之后果），双方选择以下第 1 种解决方式：</w:t>
      </w:r>
    </w:p>
    <w:p w14:paraId="3082FFF2">
      <w:pPr>
        <w:spacing w:line="360" w:lineRule="auto"/>
        <w:ind w:firstLine="480" w:firstLineChars="200"/>
        <w:rPr>
          <w:rFonts w:hint="eastAsia" w:ascii="宋体" w:hAnsi="宋体"/>
          <w:color w:val="auto"/>
          <w:sz w:val="24"/>
          <w:szCs w:val="21"/>
          <w:highlight w:val="none"/>
        </w:rPr>
      </w:pPr>
      <w:r>
        <w:rPr>
          <w:rFonts w:ascii="宋体" w:hAnsi="宋体"/>
          <w:color w:val="auto"/>
          <w:sz w:val="24"/>
          <w:szCs w:val="21"/>
          <w:highlight w:val="none"/>
        </w:rPr>
        <w:fldChar w:fldCharType="begin"/>
      </w:r>
      <w:r>
        <w:rPr>
          <w:rFonts w:ascii="宋体" w:hAnsi="宋体"/>
          <w:color w:val="auto"/>
          <w:sz w:val="24"/>
          <w:szCs w:val="21"/>
          <w:highlight w:val="none"/>
        </w:rPr>
        <w:instrText xml:space="preserve"> </w:instrText>
      </w:r>
      <w:r>
        <w:rPr>
          <w:rFonts w:hint="eastAsia" w:ascii="宋体" w:hAnsi="宋体"/>
          <w:color w:val="auto"/>
          <w:sz w:val="24"/>
          <w:szCs w:val="21"/>
          <w:highlight w:val="none"/>
        </w:rPr>
        <w:instrText xml:space="preserve">= 1 \* GB3</w:instrText>
      </w:r>
      <w:r>
        <w:rPr>
          <w:rFonts w:ascii="宋体" w:hAnsi="宋体"/>
          <w:color w:val="auto"/>
          <w:sz w:val="24"/>
          <w:szCs w:val="21"/>
          <w:highlight w:val="none"/>
        </w:rPr>
        <w:instrText xml:space="preserve"> </w:instrText>
      </w:r>
      <w:r>
        <w:rPr>
          <w:rFonts w:ascii="宋体" w:hAnsi="宋体"/>
          <w:color w:val="auto"/>
          <w:sz w:val="24"/>
          <w:szCs w:val="21"/>
          <w:highlight w:val="none"/>
        </w:rPr>
        <w:fldChar w:fldCharType="separate"/>
      </w:r>
      <w:r>
        <w:rPr>
          <w:rFonts w:hint="eastAsia" w:ascii="宋体" w:hAnsi="宋体"/>
          <w:color w:val="auto"/>
          <w:sz w:val="24"/>
          <w:szCs w:val="21"/>
          <w:highlight w:val="none"/>
        </w:rPr>
        <w:t>①</w:t>
      </w:r>
      <w:r>
        <w:rPr>
          <w:rFonts w:ascii="宋体" w:hAnsi="宋体"/>
          <w:color w:val="auto"/>
          <w:sz w:val="24"/>
          <w:szCs w:val="21"/>
          <w:highlight w:val="none"/>
        </w:rPr>
        <w:fldChar w:fldCharType="end"/>
      </w:r>
      <w:r>
        <w:rPr>
          <w:rFonts w:hint="eastAsia" w:ascii="宋体" w:hAnsi="宋体"/>
          <w:color w:val="auto"/>
          <w:sz w:val="24"/>
          <w:szCs w:val="21"/>
          <w:highlight w:val="none"/>
        </w:rPr>
        <w:t>向甲方所在地有关辖权的人民法院提起诉讼；</w:t>
      </w:r>
    </w:p>
    <w:p w14:paraId="45984BA5">
      <w:pPr>
        <w:spacing w:line="360" w:lineRule="auto"/>
        <w:ind w:firstLine="480" w:firstLineChars="200"/>
        <w:rPr>
          <w:rFonts w:hint="eastAsia" w:ascii="宋体" w:hAnsi="宋体"/>
          <w:color w:val="auto"/>
          <w:sz w:val="24"/>
          <w:szCs w:val="21"/>
          <w:highlight w:val="none"/>
        </w:rPr>
      </w:pPr>
      <w:r>
        <w:rPr>
          <w:rFonts w:ascii="宋体" w:hAnsi="宋体"/>
          <w:color w:val="auto"/>
          <w:sz w:val="24"/>
          <w:szCs w:val="21"/>
          <w:highlight w:val="none"/>
        </w:rPr>
        <w:fldChar w:fldCharType="begin"/>
      </w:r>
      <w:r>
        <w:rPr>
          <w:rFonts w:ascii="宋体" w:hAnsi="宋体"/>
          <w:color w:val="auto"/>
          <w:sz w:val="24"/>
          <w:szCs w:val="21"/>
          <w:highlight w:val="none"/>
        </w:rPr>
        <w:instrText xml:space="preserve"> </w:instrText>
      </w:r>
      <w:r>
        <w:rPr>
          <w:rFonts w:hint="eastAsia" w:ascii="宋体" w:hAnsi="宋体"/>
          <w:color w:val="auto"/>
          <w:sz w:val="24"/>
          <w:szCs w:val="21"/>
          <w:highlight w:val="none"/>
        </w:rPr>
        <w:instrText xml:space="preserve">= 2 \* GB3</w:instrText>
      </w:r>
      <w:r>
        <w:rPr>
          <w:rFonts w:ascii="宋体" w:hAnsi="宋体"/>
          <w:color w:val="auto"/>
          <w:sz w:val="24"/>
          <w:szCs w:val="21"/>
          <w:highlight w:val="none"/>
        </w:rPr>
        <w:instrText xml:space="preserve"> </w:instrText>
      </w:r>
      <w:r>
        <w:rPr>
          <w:rFonts w:ascii="宋体" w:hAnsi="宋体"/>
          <w:color w:val="auto"/>
          <w:sz w:val="24"/>
          <w:szCs w:val="21"/>
          <w:highlight w:val="none"/>
        </w:rPr>
        <w:fldChar w:fldCharType="separate"/>
      </w:r>
      <w:r>
        <w:rPr>
          <w:rFonts w:hint="eastAsia" w:ascii="宋体" w:hAnsi="宋体"/>
          <w:color w:val="auto"/>
          <w:sz w:val="24"/>
          <w:szCs w:val="21"/>
          <w:highlight w:val="none"/>
        </w:rPr>
        <w:t>②</w:t>
      </w:r>
      <w:r>
        <w:rPr>
          <w:rFonts w:ascii="宋体" w:hAnsi="宋体"/>
          <w:color w:val="auto"/>
          <w:sz w:val="24"/>
          <w:szCs w:val="21"/>
          <w:highlight w:val="none"/>
        </w:rPr>
        <w:fldChar w:fldCharType="end"/>
      </w:r>
      <w:r>
        <w:rPr>
          <w:rFonts w:hint="eastAsia" w:ascii="宋体" w:hAnsi="宋体"/>
          <w:color w:val="auto"/>
          <w:sz w:val="24"/>
          <w:szCs w:val="21"/>
          <w:highlight w:val="none"/>
        </w:rPr>
        <w:t>提交昆明仲裁委员会。</w:t>
      </w:r>
    </w:p>
    <w:p w14:paraId="44AD6E39">
      <w:pPr>
        <w:spacing w:line="360" w:lineRule="auto"/>
        <w:ind w:firstLine="482" w:firstLineChars="200"/>
        <w:rPr>
          <w:rFonts w:hint="eastAsia" w:ascii="宋体" w:hAnsi="宋体"/>
          <w:b/>
          <w:color w:val="auto"/>
          <w:sz w:val="24"/>
          <w:szCs w:val="21"/>
          <w:highlight w:val="none"/>
        </w:rPr>
      </w:pPr>
      <w:r>
        <w:rPr>
          <w:rFonts w:hint="eastAsia" w:ascii="宋体" w:hAnsi="宋体"/>
          <w:b/>
          <w:color w:val="auto"/>
          <w:sz w:val="24"/>
          <w:szCs w:val="21"/>
          <w:highlight w:val="none"/>
        </w:rPr>
        <w:t>十一、双方对其他有关事项的约定</w:t>
      </w:r>
    </w:p>
    <w:p w14:paraId="013D5B80">
      <w:pPr>
        <w:spacing w:line="360" w:lineRule="auto"/>
        <w:ind w:firstLine="480" w:firstLineChars="200"/>
        <w:rPr>
          <w:rFonts w:hint="eastAsia"/>
          <w:color w:val="auto"/>
          <w:sz w:val="28"/>
          <w:szCs w:val="28"/>
          <w:highlight w:val="none"/>
        </w:rPr>
      </w:pPr>
      <w:r>
        <w:rPr>
          <w:rFonts w:hint="eastAsia" w:ascii="宋体" w:hAnsi="宋体"/>
          <w:color w:val="auto"/>
          <w:sz w:val="24"/>
          <w:szCs w:val="21"/>
          <w:highlight w:val="none"/>
        </w:rPr>
        <w:t>本约定书一式</w:t>
      </w:r>
      <w:r>
        <w:rPr>
          <w:rFonts w:hint="eastAsia" w:ascii="宋体" w:hAnsi="宋体"/>
          <w:color w:val="auto"/>
          <w:sz w:val="24"/>
          <w:szCs w:val="21"/>
          <w:highlight w:val="none"/>
          <w:u w:val="single"/>
        </w:rPr>
        <w:t xml:space="preserve">  肆  </w:t>
      </w:r>
      <w:r>
        <w:rPr>
          <w:rFonts w:hint="eastAsia" w:ascii="宋体" w:hAnsi="宋体"/>
          <w:color w:val="auto"/>
          <w:sz w:val="24"/>
          <w:szCs w:val="21"/>
          <w:highlight w:val="none"/>
        </w:rPr>
        <w:t>份，甲、乙方各执</w:t>
      </w:r>
      <w:r>
        <w:rPr>
          <w:rFonts w:hint="eastAsia" w:ascii="宋体" w:hAnsi="宋体"/>
          <w:color w:val="auto"/>
          <w:sz w:val="24"/>
          <w:szCs w:val="21"/>
          <w:highlight w:val="none"/>
          <w:u w:val="single"/>
        </w:rPr>
        <w:t xml:space="preserve">  贰  </w:t>
      </w:r>
      <w:r>
        <w:rPr>
          <w:rFonts w:hint="eastAsia" w:ascii="宋体" w:hAnsi="宋体"/>
          <w:color w:val="auto"/>
          <w:sz w:val="24"/>
          <w:szCs w:val="21"/>
          <w:highlight w:val="none"/>
        </w:rPr>
        <w:t>份，具有同等法律效力</w:t>
      </w:r>
    </w:p>
    <w:p w14:paraId="011F3EF4">
      <w:pPr>
        <w:keepNext w:val="0"/>
        <w:keepLines w:val="0"/>
        <w:pageBreakBefore w:val="0"/>
        <w:kinsoku/>
        <w:wordWrap/>
        <w:overflowPunct/>
        <w:topLinePunct w:val="0"/>
        <w:autoSpaceDE/>
        <w:autoSpaceDN/>
        <w:bidi w:val="0"/>
        <w:spacing w:line="360" w:lineRule="auto"/>
        <w:ind w:right="0"/>
        <w:textAlignment w:val="auto"/>
        <w:rPr>
          <w:rFonts w:hint="eastAsia" w:ascii="宋体" w:hAnsi="宋体"/>
          <w:color w:val="auto"/>
          <w:sz w:val="22"/>
          <w:szCs w:val="22"/>
          <w:highlight w:val="none"/>
        </w:rPr>
      </w:pPr>
    </w:p>
    <w:p w14:paraId="4293048B">
      <w:pPr>
        <w:keepNext w:val="0"/>
        <w:keepLines w:val="0"/>
        <w:pageBreakBefore w:val="0"/>
        <w:kinsoku/>
        <w:wordWrap/>
        <w:overflowPunct/>
        <w:topLinePunct w:val="0"/>
        <w:autoSpaceDE/>
        <w:autoSpaceDN/>
        <w:bidi w:val="0"/>
        <w:spacing w:line="360" w:lineRule="auto"/>
        <w:ind w:right="0"/>
        <w:textAlignment w:val="auto"/>
        <w:rPr>
          <w:rFonts w:hint="eastAsia" w:ascii="宋体" w:hAnsi="宋体"/>
          <w:color w:val="auto"/>
          <w:sz w:val="22"/>
          <w:szCs w:val="22"/>
          <w:highlight w:val="none"/>
          <w:u w:val="single"/>
        </w:rPr>
      </w:pPr>
      <w:r>
        <w:rPr>
          <w:rFonts w:hint="eastAsia" w:ascii="宋体" w:hAnsi="宋体"/>
          <w:color w:val="auto"/>
          <w:sz w:val="22"/>
          <w:szCs w:val="22"/>
          <w:highlight w:val="none"/>
        </w:rPr>
        <w:t xml:space="preserve">委托人（甲方）：             </w:t>
      </w:r>
      <w:r>
        <w:rPr>
          <w:rFonts w:ascii="宋体" w:hAnsi="宋体"/>
          <w:color w:val="auto"/>
          <w:sz w:val="22"/>
          <w:szCs w:val="22"/>
          <w:highlight w:val="none"/>
        </w:rPr>
        <w:t xml:space="preserve"> </w:t>
      </w:r>
    </w:p>
    <w:p w14:paraId="584E2458">
      <w:pPr>
        <w:keepNext w:val="0"/>
        <w:keepLines w:val="0"/>
        <w:pageBreakBefore w:val="0"/>
        <w:kinsoku/>
        <w:wordWrap/>
        <w:overflowPunct/>
        <w:topLinePunct w:val="0"/>
        <w:autoSpaceDE/>
        <w:autoSpaceDN/>
        <w:bidi w:val="0"/>
        <w:spacing w:line="360" w:lineRule="auto"/>
        <w:ind w:right="0"/>
        <w:textAlignment w:val="auto"/>
        <w:rPr>
          <w:rFonts w:hint="eastAsia" w:ascii="宋体" w:hAnsi="宋体"/>
          <w:color w:val="auto"/>
          <w:sz w:val="22"/>
          <w:szCs w:val="22"/>
          <w:highlight w:val="none"/>
        </w:rPr>
      </w:pPr>
      <w:r>
        <w:rPr>
          <w:rFonts w:hint="eastAsia" w:ascii="宋体" w:hAnsi="宋体"/>
          <w:color w:val="auto"/>
          <w:sz w:val="22"/>
          <w:szCs w:val="22"/>
          <w:highlight w:val="none"/>
        </w:rPr>
        <w:t>法定代表人或委托代理人（签字）：</w:t>
      </w:r>
      <w:r>
        <w:rPr>
          <w:rFonts w:hint="eastAsia" w:ascii="宋体" w:hAnsi="宋体"/>
          <w:color w:val="auto"/>
          <w:sz w:val="22"/>
          <w:szCs w:val="22"/>
          <w:highlight w:val="none"/>
          <w:u w:val="single"/>
        </w:rPr>
        <w:t xml:space="preserve">        </w:t>
      </w:r>
    </w:p>
    <w:p w14:paraId="6427A243">
      <w:pPr>
        <w:keepNext w:val="0"/>
        <w:keepLines w:val="0"/>
        <w:pageBreakBefore w:val="0"/>
        <w:kinsoku/>
        <w:wordWrap/>
        <w:overflowPunct/>
        <w:topLinePunct w:val="0"/>
        <w:autoSpaceDE/>
        <w:autoSpaceDN/>
        <w:bidi w:val="0"/>
        <w:spacing w:line="360" w:lineRule="auto"/>
        <w:ind w:right="0"/>
        <w:textAlignment w:val="auto"/>
        <w:rPr>
          <w:rFonts w:hint="eastAsia" w:ascii="宋体" w:hAnsi="宋体"/>
          <w:color w:val="auto"/>
          <w:sz w:val="22"/>
          <w:szCs w:val="22"/>
          <w:highlight w:val="none"/>
        </w:rPr>
      </w:pPr>
      <w:r>
        <w:rPr>
          <w:rFonts w:hint="eastAsia" w:ascii="宋体" w:hAnsi="宋体"/>
          <w:color w:val="auto"/>
          <w:sz w:val="22"/>
          <w:szCs w:val="22"/>
          <w:highlight w:val="none"/>
        </w:rPr>
        <w:t>地  址：</w:t>
      </w:r>
      <w:r>
        <w:rPr>
          <w:rFonts w:hint="eastAsia" w:ascii="宋体" w:hAnsi="宋体"/>
          <w:color w:val="auto"/>
          <w:sz w:val="22"/>
          <w:szCs w:val="22"/>
          <w:highlight w:val="none"/>
          <w:u w:val="single"/>
        </w:rPr>
        <w:t xml:space="preserve">  </w:t>
      </w:r>
      <w:r>
        <w:rPr>
          <w:rFonts w:ascii="宋体" w:hAnsi="宋体"/>
          <w:color w:val="auto"/>
          <w:sz w:val="22"/>
          <w:szCs w:val="22"/>
          <w:highlight w:val="none"/>
          <w:u w:val="single"/>
        </w:rPr>
        <w:t xml:space="preserve">                      </w:t>
      </w:r>
      <w:r>
        <w:rPr>
          <w:rFonts w:hint="eastAsia" w:ascii="宋体" w:hAnsi="宋体"/>
          <w:color w:val="auto"/>
          <w:sz w:val="22"/>
          <w:szCs w:val="22"/>
          <w:highlight w:val="none"/>
          <w:u w:val="single"/>
        </w:rPr>
        <w:t xml:space="preserve">    </w:t>
      </w:r>
      <w:r>
        <w:rPr>
          <w:rFonts w:ascii="宋体" w:hAnsi="宋体"/>
          <w:color w:val="auto"/>
          <w:sz w:val="22"/>
          <w:szCs w:val="22"/>
          <w:highlight w:val="none"/>
          <w:u w:val="single"/>
        </w:rPr>
        <w:t xml:space="preserve">  </w:t>
      </w:r>
      <w:r>
        <w:rPr>
          <w:rFonts w:hint="eastAsia" w:ascii="宋体" w:hAnsi="宋体"/>
          <w:color w:val="auto"/>
          <w:sz w:val="22"/>
          <w:szCs w:val="22"/>
          <w:highlight w:val="none"/>
          <w:u w:val="single"/>
        </w:rPr>
        <w:t xml:space="preserve"> </w:t>
      </w:r>
    </w:p>
    <w:p w14:paraId="7789C541">
      <w:pPr>
        <w:keepNext w:val="0"/>
        <w:keepLines w:val="0"/>
        <w:pageBreakBefore w:val="0"/>
        <w:kinsoku/>
        <w:wordWrap/>
        <w:overflowPunct/>
        <w:topLinePunct w:val="0"/>
        <w:autoSpaceDE/>
        <w:autoSpaceDN/>
        <w:bidi w:val="0"/>
        <w:spacing w:line="360" w:lineRule="auto"/>
        <w:ind w:right="0"/>
        <w:textAlignment w:val="auto"/>
        <w:rPr>
          <w:rFonts w:hint="eastAsia" w:ascii="宋体" w:hAnsi="宋体"/>
          <w:color w:val="auto"/>
          <w:sz w:val="22"/>
          <w:szCs w:val="22"/>
          <w:highlight w:val="none"/>
        </w:rPr>
      </w:pPr>
      <w:r>
        <w:rPr>
          <w:rFonts w:hint="eastAsia" w:ascii="宋体" w:hAnsi="宋体"/>
          <w:color w:val="auto"/>
          <w:sz w:val="22"/>
          <w:szCs w:val="22"/>
          <w:highlight w:val="none"/>
        </w:rPr>
        <w:t>电话（联系方式）：</w:t>
      </w:r>
    </w:p>
    <w:p w14:paraId="67CADD4A">
      <w:pPr>
        <w:pStyle w:val="20"/>
        <w:keepNext w:val="0"/>
        <w:keepLines w:val="0"/>
        <w:pageBreakBefore w:val="0"/>
        <w:kinsoku/>
        <w:wordWrap/>
        <w:overflowPunct/>
        <w:topLinePunct w:val="0"/>
        <w:autoSpaceDE/>
        <w:autoSpaceDN/>
        <w:bidi w:val="0"/>
        <w:adjustRightInd w:val="0"/>
        <w:snapToGrid w:val="0"/>
        <w:spacing w:before="0" w:beforeAutospacing="0" w:after="0" w:afterAutospacing="0" w:line="360" w:lineRule="auto"/>
        <w:ind w:right="0" w:firstLine="440" w:firstLineChars="200"/>
        <w:textAlignment w:val="auto"/>
        <w:rPr>
          <w:rFonts w:ascii="宋体" w:hAnsi="宋体" w:cs="Times New Roman"/>
          <w:color w:val="auto"/>
          <w:kern w:val="2"/>
          <w:sz w:val="22"/>
          <w:szCs w:val="22"/>
          <w:highlight w:val="none"/>
        </w:rPr>
      </w:pPr>
      <w:r>
        <w:rPr>
          <w:rFonts w:hint="eastAsia" w:ascii="宋体" w:hAnsi="宋体"/>
          <w:color w:val="auto"/>
          <w:sz w:val="22"/>
          <w:szCs w:val="22"/>
          <w:highlight w:val="none"/>
        </w:rPr>
        <w:t>年  月  日</w:t>
      </w:r>
    </w:p>
    <w:p w14:paraId="3054DED6">
      <w:pPr>
        <w:pStyle w:val="20"/>
        <w:keepNext w:val="0"/>
        <w:keepLines w:val="0"/>
        <w:pageBreakBefore w:val="0"/>
        <w:kinsoku/>
        <w:wordWrap/>
        <w:overflowPunct/>
        <w:topLinePunct w:val="0"/>
        <w:autoSpaceDE/>
        <w:autoSpaceDN/>
        <w:bidi w:val="0"/>
        <w:adjustRightInd w:val="0"/>
        <w:snapToGrid w:val="0"/>
        <w:spacing w:before="0" w:beforeAutospacing="0" w:after="0" w:afterAutospacing="0" w:line="360" w:lineRule="auto"/>
        <w:ind w:right="0"/>
        <w:textAlignment w:val="auto"/>
        <w:rPr>
          <w:rFonts w:hint="default" w:ascii="宋体" w:hAnsi="宋体" w:eastAsia="宋体"/>
          <w:color w:val="auto"/>
          <w:sz w:val="22"/>
          <w:szCs w:val="22"/>
          <w:highlight w:val="none"/>
          <w:u w:val="single"/>
          <w:lang w:val="en-US" w:eastAsia="zh-CN"/>
        </w:rPr>
      </w:pPr>
      <w:r>
        <w:rPr>
          <w:rFonts w:hint="eastAsia" w:ascii="宋体" w:hAnsi="宋体"/>
          <w:color w:val="auto"/>
          <w:sz w:val="22"/>
          <w:szCs w:val="22"/>
          <w:highlight w:val="none"/>
          <w:u w:val="none"/>
        </w:rPr>
        <w:t>受托人（乙方）：</w:t>
      </w:r>
      <w:r>
        <w:rPr>
          <w:rFonts w:hint="eastAsia" w:ascii="宋体" w:hAnsi="宋体"/>
          <w:color w:val="auto"/>
          <w:sz w:val="22"/>
          <w:szCs w:val="22"/>
          <w:highlight w:val="none"/>
          <w:u w:val="single"/>
          <w:lang w:val="en-US" w:eastAsia="zh-CN"/>
        </w:rPr>
        <w:t xml:space="preserve">                                </w:t>
      </w:r>
    </w:p>
    <w:p w14:paraId="451C99FF">
      <w:pPr>
        <w:pStyle w:val="20"/>
        <w:keepNext w:val="0"/>
        <w:keepLines w:val="0"/>
        <w:pageBreakBefore w:val="0"/>
        <w:kinsoku/>
        <w:wordWrap/>
        <w:overflowPunct/>
        <w:topLinePunct w:val="0"/>
        <w:autoSpaceDE/>
        <w:autoSpaceDN/>
        <w:bidi w:val="0"/>
        <w:adjustRightInd w:val="0"/>
        <w:snapToGrid w:val="0"/>
        <w:spacing w:before="0" w:beforeAutospacing="0" w:after="0" w:afterAutospacing="0" w:line="360" w:lineRule="auto"/>
        <w:ind w:right="0"/>
        <w:textAlignment w:val="auto"/>
        <w:rPr>
          <w:rFonts w:ascii="宋体" w:hAnsi="宋体"/>
          <w:color w:val="auto"/>
          <w:sz w:val="22"/>
          <w:szCs w:val="22"/>
          <w:highlight w:val="none"/>
          <w:u w:val="single"/>
        </w:rPr>
      </w:pPr>
      <w:r>
        <w:rPr>
          <w:rFonts w:hint="eastAsia" w:ascii="宋体" w:hAnsi="宋体"/>
          <w:color w:val="auto"/>
          <w:sz w:val="22"/>
          <w:szCs w:val="22"/>
          <w:highlight w:val="none"/>
        </w:rPr>
        <w:t>法定代表人（合伙人）或委托代理人（签字）：</w:t>
      </w:r>
      <w:r>
        <w:rPr>
          <w:rFonts w:hint="eastAsia" w:ascii="宋体" w:hAnsi="宋体"/>
          <w:color w:val="auto"/>
          <w:sz w:val="22"/>
          <w:szCs w:val="22"/>
          <w:highlight w:val="none"/>
          <w:u w:val="single"/>
        </w:rPr>
        <w:t xml:space="preserve">              </w:t>
      </w:r>
    </w:p>
    <w:p w14:paraId="2D767EE9">
      <w:pPr>
        <w:keepNext w:val="0"/>
        <w:keepLines w:val="0"/>
        <w:pageBreakBefore w:val="0"/>
        <w:kinsoku/>
        <w:wordWrap/>
        <w:overflowPunct/>
        <w:topLinePunct w:val="0"/>
        <w:autoSpaceDE/>
        <w:autoSpaceDN/>
        <w:bidi w:val="0"/>
        <w:spacing w:line="360" w:lineRule="auto"/>
        <w:ind w:right="0"/>
        <w:textAlignment w:val="auto"/>
        <w:rPr>
          <w:rFonts w:hint="eastAsia" w:ascii="宋体" w:hAnsi="宋体"/>
          <w:color w:val="auto"/>
          <w:sz w:val="22"/>
          <w:szCs w:val="22"/>
          <w:highlight w:val="none"/>
        </w:rPr>
      </w:pPr>
      <w:r>
        <w:rPr>
          <w:rFonts w:hint="eastAsia" w:ascii="宋体" w:hAnsi="宋体"/>
          <w:color w:val="auto"/>
          <w:sz w:val="22"/>
          <w:szCs w:val="22"/>
          <w:highlight w:val="none"/>
        </w:rPr>
        <w:t>地  址：</w:t>
      </w:r>
    </w:p>
    <w:p w14:paraId="47D7F5D8">
      <w:pPr>
        <w:keepNext w:val="0"/>
        <w:keepLines w:val="0"/>
        <w:pageBreakBefore w:val="0"/>
        <w:kinsoku/>
        <w:wordWrap/>
        <w:overflowPunct/>
        <w:topLinePunct w:val="0"/>
        <w:autoSpaceDE/>
        <w:autoSpaceDN/>
        <w:bidi w:val="0"/>
        <w:spacing w:line="360" w:lineRule="auto"/>
        <w:ind w:right="0"/>
        <w:textAlignment w:val="auto"/>
        <w:rPr>
          <w:rFonts w:hint="eastAsia" w:ascii="宋体" w:hAnsi="宋体"/>
          <w:color w:val="auto"/>
          <w:sz w:val="22"/>
          <w:szCs w:val="22"/>
          <w:highlight w:val="none"/>
        </w:rPr>
      </w:pPr>
      <w:r>
        <w:rPr>
          <w:rFonts w:hint="eastAsia" w:ascii="宋体" w:hAnsi="宋体"/>
          <w:color w:val="auto"/>
          <w:sz w:val="22"/>
          <w:szCs w:val="22"/>
          <w:highlight w:val="none"/>
        </w:rPr>
        <w:t>电  话：</w:t>
      </w:r>
    </w:p>
    <w:p w14:paraId="37E62996">
      <w:pPr>
        <w:pStyle w:val="20"/>
        <w:keepNext w:val="0"/>
        <w:keepLines w:val="0"/>
        <w:pageBreakBefore w:val="0"/>
        <w:kinsoku/>
        <w:wordWrap/>
        <w:overflowPunct/>
        <w:topLinePunct w:val="0"/>
        <w:autoSpaceDE/>
        <w:autoSpaceDN/>
        <w:bidi w:val="0"/>
        <w:adjustRightInd w:val="0"/>
        <w:snapToGrid w:val="0"/>
        <w:spacing w:before="0" w:beforeAutospacing="0" w:after="0" w:afterAutospacing="0" w:line="360" w:lineRule="auto"/>
        <w:ind w:right="0"/>
        <w:textAlignment w:val="auto"/>
        <w:rPr>
          <w:rFonts w:ascii="宋体" w:hAnsi="宋体"/>
          <w:color w:val="auto"/>
          <w:sz w:val="22"/>
          <w:szCs w:val="18"/>
          <w:highlight w:val="none"/>
        </w:rPr>
      </w:pPr>
      <w:r>
        <w:rPr>
          <w:rFonts w:hint="eastAsia" w:ascii="宋体" w:hAnsi="宋体" w:cs="Times New Roman"/>
          <w:color w:val="auto"/>
          <w:kern w:val="2"/>
          <w:sz w:val="22"/>
          <w:szCs w:val="22"/>
          <w:highlight w:val="none"/>
        </w:rPr>
        <w:t xml:space="preserve"> </w:t>
      </w:r>
      <w:r>
        <w:rPr>
          <w:rFonts w:ascii="宋体" w:hAnsi="宋体" w:cs="Times New Roman"/>
          <w:color w:val="auto"/>
          <w:kern w:val="2"/>
          <w:sz w:val="22"/>
          <w:szCs w:val="22"/>
          <w:highlight w:val="none"/>
        </w:rPr>
        <w:t xml:space="preserve">     </w:t>
      </w:r>
      <w:r>
        <w:rPr>
          <w:rFonts w:hint="eastAsia" w:ascii="宋体" w:hAnsi="宋体" w:cs="Times New Roman"/>
          <w:color w:val="auto"/>
          <w:kern w:val="2"/>
          <w:sz w:val="22"/>
          <w:szCs w:val="22"/>
          <w:highlight w:val="none"/>
        </w:rPr>
        <w:t>年  月  日</w:t>
      </w:r>
    </w:p>
    <w:p w14:paraId="297E0206">
      <w:pPr>
        <w:spacing w:line="520" w:lineRule="exact"/>
        <w:jc w:val="center"/>
        <w:outlineLvl w:val="0"/>
        <w:rPr>
          <w:rFonts w:hint="eastAsia" w:ascii="宋体" w:hAnsi="宋体" w:eastAsia="宋体" w:cs="宋体"/>
          <w:color w:val="auto"/>
          <w:sz w:val="36"/>
          <w:szCs w:val="36"/>
          <w:highlight w:val="none"/>
        </w:rPr>
      </w:pPr>
      <w:r>
        <w:rPr>
          <w:rFonts w:hint="eastAsia" w:ascii="宋体" w:hAnsi="宋体" w:eastAsia="宋体" w:cs="宋体"/>
          <w:color w:val="auto"/>
          <w:kern w:val="44"/>
          <w:sz w:val="36"/>
          <w:szCs w:val="36"/>
          <w:highlight w:val="none"/>
        </w:rPr>
        <w:br w:type="page"/>
      </w:r>
      <w:bookmarkStart w:id="154" w:name="_Toc3783"/>
      <w:r>
        <w:rPr>
          <w:rFonts w:hint="eastAsia" w:ascii="宋体" w:hAnsi="宋体" w:eastAsia="宋体" w:cs="宋体"/>
          <w:color w:val="auto"/>
          <w:sz w:val="36"/>
          <w:szCs w:val="36"/>
          <w:highlight w:val="none"/>
        </w:rPr>
        <w:t>第六章 响应文件格式</w:t>
      </w:r>
      <w:bookmarkEnd w:id="147"/>
      <w:bookmarkEnd w:id="154"/>
    </w:p>
    <w:p w14:paraId="5309AAD6">
      <w:pPr>
        <w:spacing w:line="520" w:lineRule="exact"/>
        <w:jc w:val="center"/>
        <w:rPr>
          <w:rFonts w:hint="eastAsia" w:ascii="宋体" w:hAnsi="宋体" w:eastAsia="宋体" w:cs="宋体"/>
          <w:b/>
          <w:color w:val="auto"/>
          <w:sz w:val="52"/>
          <w:szCs w:val="52"/>
          <w:highlight w:val="none"/>
          <w:u w:val="single"/>
        </w:rPr>
      </w:pPr>
      <w:bookmarkStart w:id="155" w:name="_Toc21201"/>
      <w:bookmarkStart w:id="156" w:name="_Toc16446"/>
    </w:p>
    <w:p w14:paraId="438EA901">
      <w:pPr>
        <w:spacing w:line="520" w:lineRule="exact"/>
        <w:jc w:val="center"/>
        <w:rPr>
          <w:rFonts w:hint="eastAsia" w:ascii="宋体" w:hAnsi="宋体" w:eastAsia="宋体" w:cs="宋体"/>
          <w:b/>
          <w:color w:val="auto"/>
          <w:sz w:val="52"/>
          <w:szCs w:val="52"/>
          <w:highlight w:val="none"/>
          <w:u w:val="single"/>
        </w:rPr>
      </w:pPr>
    </w:p>
    <w:p w14:paraId="1573344D">
      <w:pPr>
        <w:spacing w:line="520" w:lineRule="exact"/>
        <w:jc w:val="center"/>
        <w:rPr>
          <w:rFonts w:hint="eastAsia" w:ascii="宋体" w:hAnsi="宋体" w:eastAsia="宋体" w:cs="宋体"/>
          <w:b/>
          <w:color w:val="auto"/>
          <w:sz w:val="52"/>
          <w:szCs w:val="52"/>
          <w:highlight w:val="none"/>
          <w:u w:val="single"/>
        </w:rPr>
      </w:pPr>
    </w:p>
    <w:bookmarkEnd w:id="155"/>
    <w:bookmarkEnd w:id="156"/>
    <w:p w14:paraId="61F69A70">
      <w:pPr>
        <w:spacing w:line="360" w:lineRule="auto"/>
        <w:jc w:val="center"/>
        <w:rPr>
          <w:rFonts w:hint="eastAsia" w:ascii="宋体" w:hAnsi="宋体" w:eastAsia="宋体" w:cs="宋体"/>
          <w:b/>
          <w:color w:val="auto"/>
          <w:sz w:val="52"/>
          <w:szCs w:val="52"/>
          <w:highlight w:val="none"/>
        </w:rPr>
      </w:pPr>
      <w:r>
        <w:rPr>
          <w:rFonts w:hint="eastAsia" w:ascii="宋体" w:hAnsi="宋体" w:eastAsia="宋体" w:cs="宋体"/>
          <w:b/>
          <w:color w:val="auto"/>
          <w:sz w:val="52"/>
          <w:szCs w:val="52"/>
          <w:highlight w:val="none"/>
          <w:lang w:eastAsia="zh-CN"/>
        </w:rPr>
        <w:t xml:space="preserve"> </w:t>
      </w:r>
      <w:r>
        <w:rPr>
          <w:rFonts w:hint="eastAsia" w:ascii="宋体" w:hAnsi="宋体" w:cs="宋体"/>
          <w:b/>
          <w:color w:val="auto"/>
          <w:sz w:val="52"/>
          <w:szCs w:val="52"/>
          <w:highlight w:val="none"/>
          <w:lang w:eastAsia="zh-CN"/>
        </w:rPr>
        <w:t>昆明鑫安道路设施维护有限公司清算报告服务项目（四次）</w:t>
      </w:r>
    </w:p>
    <w:p w14:paraId="2457DEC4">
      <w:pPr>
        <w:spacing w:line="520" w:lineRule="exact"/>
        <w:ind w:firstLine="437"/>
        <w:rPr>
          <w:rFonts w:hint="eastAsia" w:ascii="宋体" w:hAnsi="宋体" w:eastAsia="宋体" w:cs="宋体"/>
          <w:color w:val="auto"/>
          <w:szCs w:val="21"/>
          <w:highlight w:val="none"/>
        </w:rPr>
      </w:pPr>
    </w:p>
    <w:p w14:paraId="6BC63653">
      <w:pPr>
        <w:spacing w:line="520" w:lineRule="exact"/>
        <w:rPr>
          <w:rFonts w:hint="eastAsia" w:ascii="宋体" w:hAnsi="宋体" w:eastAsia="宋体" w:cs="宋体"/>
          <w:color w:val="auto"/>
          <w:szCs w:val="21"/>
          <w:highlight w:val="none"/>
        </w:rPr>
      </w:pPr>
    </w:p>
    <w:p w14:paraId="2E986BED">
      <w:pPr>
        <w:spacing w:line="520" w:lineRule="exact"/>
        <w:rPr>
          <w:rFonts w:hint="eastAsia" w:ascii="宋体" w:hAnsi="宋体" w:eastAsia="宋体" w:cs="宋体"/>
          <w:color w:val="auto"/>
          <w:szCs w:val="21"/>
          <w:highlight w:val="none"/>
        </w:rPr>
      </w:pPr>
    </w:p>
    <w:p w14:paraId="533022FE">
      <w:pPr>
        <w:pStyle w:val="24"/>
        <w:rPr>
          <w:rFonts w:hint="eastAsia" w:ascii="宋体" w:hAnsi="宋体" w:eastAsia="宋体" w:cs="宋体"/>
          <w:color w:val="auto"/>
          <w:highlight w:val="none"/>
        </w:rPr>
      </w:pPr>
    </w:p>
    <w:p w14:paraId="266F2B71">
      <w:pPr>
        <w:spacing w:line="520" w:lineRule="exact"/>
        <w:rPr>
          <w:rFonts w:hint="eastAsia" w:ascii="宋体" w:hAnsi="宋体" w:eastAsia="宋体" w:cs="宋体"/>
          <w:color w:val="auto"/>
          <w:szCs w:val="21"/>
          <w:highlight w:val="none"/>
        </w:rPr>
      </w:pPr>
    </w:p>
    <w:p w14:paraId="244CC41D">
      <w:pPr>
        <w:spacing w:line="1000" w:lineRule="exact"/>
        <w:jc w:val="center"/>
        <w:rPr>
          <w:rFonts w:hint="eastAsia" w:ascii="宋体" w:hAnsi="宋体" w:eastAsia="宋体" w:cs="宋体"/>
          <w:b/>
          <w:color w:val="auto"/>
          <w:sz w:val="72"/>
          <w:szCs w:val="72"/>
          <w:highlight w:val="none"/>
        </w:rPr>
      </w:pPr>
      <w:bookmarkStart w:id="157" w:name="_Toc6929"/>
      <w:bookmarkStart w:id="158" w:name="_Toc4497"/>
      <w:bookmarkStart w:id="159" w:name="_Toc30718"/>
      <w:bookmarkStart w:id="160" w:name="_Toc31440"/>
      <w:r>
        <w:rPr>
          <w:rFonts w:hint="eastAsia" w:ascii="宋体" w:hAnsi="宋体" w:eastAsia="宋体" w:cs="宋体"/>
          <w:b/>
          <w:color w:val="auto"/>
          <w:sz w:val="72"/>
          <w:szCs w:val="72"/>
          <w:highlight w:val="none"/>
        </w:rPr>
        <w:t>响应文件</w:t>
      </w:r>
      <w:bookmarkEnd w:id="157"/>
      <w:bookmarkEnd w:id="158"/>
      <w:bookmarkEnd w:id="159"/>
      <w:bookmarkEnd w:id="160"/>
    </w:p>
    <w:p w14:paraId="4A54B3B2">
      <w:pPr>
        <w:spacing w:line="520" w:lineRule="exact"/>
        <w:rPr>
          <w:rFonts w:hint="eastAsia" w:ascii="宋体" w:hAnsi="宋体" w:eastAsia="宋体" w:cs="宋体"/>
          <w:color w:val="auto"/>
          <w:szCs w:val="21"/>
          <w:highlight w:val="none"/>
        </w:rPr>
      </w:pPr>
    </w:p>
    <w:p w14:paraId="45776A23">
      <w:pPr>
        <w:spacing w:line="520" w:lineRule="exact"/>
        <w:ind w:firstLine="437"/>
        <w:rPr>
          <w:rFonts w:hint="eastAsia" w:ascii="宋体" w:hAnsi="宋体" w:eastAsia="宋体" w:cs="宋体"/>
          <w:color w:val="auto"/>
          <w:szCs w:val="21"/>
          <w:highlight w:val="none"/>
        </w:rPr>
      </w:pPr>
    </w:p>
    <w:p w14:paraId="5D24B0BA">
      <w:pPr>
        <w:spacing w:line="520" w:lineRule="exact"/>
        <w:ind w:firstLine="437"/>
        <w:rPr>
          <w:rFonts w:hint="eastAsia" w:ascii="宋体" w:hAnsi="宋体" w:eastAsia="宋体" w:cs="宋体"/>
          <w:color w:val="auto"/>
          <w:szCs w:val="21"/>
          <w:highlight w:val="none"/>
        </w:rPr>
      </w:pPr>
    </w:p>
    <w:p w14:paraId="1E5D9AE5">
      <w:pPr>
        <w:spacing w:line="520" w:lineRule="exact"/>
        <w:ind w:firstLine="437"/>
        <w:rPr>
          <w:rFonts w:hint="eastAsia" w:ascii="宋体" w:hAnsi="宋体" w:eastAsia="宋体" w:cs="宋体"/>
          <w:color w:val="auto"/>
          <w:szCs w:val="21"/>
          <w:highlight w:val="none"/>
        </w:rPr>
      </w:pPr>
    </w:p>
    <w:p w14:paraId="6632E21F">
      <w:pPr>
        <w:pStyle w:val="24"/>
        <w:rPr>
          <w:rFonts w:hint="eastAsia" w:ascii="宋体" w:hAnsi="宋体" w:eastAsia="宋体" w:cs="宋体"/>
          <w:color w:val="auto"/>
          <w:szCs w:val="21"/>
          <w:highlight w:val="none"/>
        </w:rPr>
      </w:pPr>
    </w:p>
    <w:p w14:paraId="14C374DB">
      <w:pPr>
        <w:pStyle w:val="24"/>
        <w:rPr>
          <w:rFonts w:hint="eastAsia" w:ascii="宋体" w:hAnsi="宋体" w:eastAsia="宋体" w:cs="宋体"/>
          <w:color w:val="auto"/>
          <w:szCs w:val="21"/>
          <w:highlight w:val="none"/>
        </w:rPr>
      </w:pPr>
    </w:p>
    <w:p w14:paraId="4E379D77">
      <w:pPr>
        <w:pStyle w:val="24"/>
        <w:rPr>
          <w:rFonts w:hint="eastAsia" w:ascii="宋体" w:hAnsi="宋体" w:eastAsia="宋体" w:cs="宋体"/>
          <w:color w:val="auto"/>
          <w:szCs w:val="21"/>
          <w:highlight w:val="none"/>
        </w:rPr>
      </w:pPr>
    </w:p>
    <w:p w14:paraId="1C3E622C">
      <w:pPr>
        <w:pStyle w:val="24"/>
        <w:rPr>
          <w:rFonts w:hint="eastAsia" w:ascii="宋体" w:hAnsi="宋体" w:eastAsia="宋体" w:cs="宋体"/>
          <w:color w:val="auto"/>
          <w:szCs w:val="21"/>
          <w:highlight w:val="none"/>
        </w:rPr>
      </w:pPr>
    </w:p>
    <w:p w14:paraId="79D480EF">
      <w:pPr>
        <w:spacing w:line="520" w:lineRule="exact"/>
        <w:rPr>
          <w:rFonts w:hint="eastAsia" w:ascii="宋体" w:hAnsi="宋体" w:eastAsia="宋体" w:cs="宋体"/>
          <w:color w:val="auto"/>
          <w:szCs w:val="21"/>
          <w:highlight w:val="none"/>
        </w:rPr>
      </w:pPr>
    </w:p>
    <w:p w14:paraId="573DAD71">
      <w:pPr>
        <w:spacing w:line="520" w:lineRule="exact"/>
        <w:ind w:firstLine="437"/>
        <w:rPr>
          <w:rFonts w:hint="eastAsia" w:ascii="宋体" w:hAnsi="宋体" w:eastAsia="宋体" w:cs="宋体"/>
          <w:color w:val="auto"/>
          <w:szCs w:val="21"/>
          <w:highlight w:val="none"/>
        </w:rPr>
      </w:pPr>
    </w:p>
    <w:p w14:paraId="45E4D148">
      <w:pPr>
        <w:spacing w:line="520" w:lineRule="exact"/>
        <w:ind w:firstLine="437"/>
        <w:rPr>
          <w:rFonts w:hint="eastAsia" w:ascii="宋体" w:hAnsi="宋体" w:eastAsia="宋体" w:cs="宋体"/>
          <w:color w:val="auto"/>
          <w:sz w:val="30"/>
          <w:szCs w:val="30"/>
          <w:highlight w:val="none"/>
        </w:rPr>
      </w:pPr>
      <w:bookmarkStart w:id="161" w:name="_Toc29906"/>
      <w:bookmarkStart w:id="162" w:name="_Toc1057"/>
      <w:bookmarkStart w:id="163" w:name="_Toc120"/>
      <w:bookmarkStart w:id="164" w:name="_Toc30206"/>
      <w:r>
        <w:rPr>
          <w:rFonts w:hint="eastAsia" w:ascii="宋体" w:hAnsi="宋体" w:eastAsia="宋体" w:cs="宋体"/>
          <w:color w:val="auto"/>
          <w:sz w:val="30"/>
          <w:szCs w:val="30"/>
          <w:highlight w:val="none"/>
        </w:rPr>
        <w:t>申请人（盖章）:</w:t>
      </w:r>
      <w:bookmarkEnd w:id="161"/>
      <w:bookmarkEnd w:id="162"/>
      <w:bookmarkEnd w:id="163"/>
      <w:bookmarkEnd w:id="164"/>
      <w:r>
        <w:rPr>
          <w:rFonts w:hint="eastAsia" w:ascii="宋体" w:hAnsi="宋体" w:eastAsia="宋体" w:cs="宋体"/>
          <w:color w:val="auto"/>
          <w:sz w:val="30"/>
          <w:szCs w:val="30"/>
          <w:highlight w:val="none"/>
          <w:u w:val="single"/>
        </w:rPr>
        <w:t xml:space="preserve">                               </w:t>
      </w:r>
    </w:p>
    <w:p w14:paraId="378A6E81">
      <w:pPr>
        <w:spacing w:line="520" w:lineRule="exact"/>
        <w:ind w:firstLine="437"/>
        <w:rPr>
          <w:rFonts w:hint="eastAsia" w:ascii="宋体" w:hAnsi="宋体" w:eastAsia="宋体" w:cs="宋体"/>
          <w:b/>
          <w:color w:val="auto"/>
          <w:sz w:val="32"/>
          <w:szCs w:val="32"/>
          <w:highlight w:val="none"/>
          <w:u w:val="single"/>
        </w:rPr>
      </w:pPr>
      <w:bookmarkStart w:id="165" w:name="_Toc21187"/>
      <w:bookmarkStart w:id="166" w:name="_Toc3003"/>
      <w:bookmarkStart w:id="167" w:name="_Toc18059"/>
      <w:bookmarkStart w:id="168" w:name="_Toc2209"/>
      <w:r>
        <w:rPr>
          <w:rFonts w:hint="eastAsia" w:ascii="宋体" w:hAnsi="宋体" w:eastAsia="宋体" w:cs="宋体"/>
          <w:color w:val="auto"/>
          <w:sz w:val="30"/>
          <w:szCs w:val="30"/>
          <w:highlight w:val="none"/>
        </w:rPr>
        <w:t>法定代表人</w:t>
      </w:r>
      <w:r>
        <w:rPr>
          <w:rFonts w:hint="eastAsia" w:ascii="宋体" w:hAnsi="宋体" w:cs="宋体"/>
          <w:color w:val="auto"/>
          <w:sz w:val="30"/>
          <w:szCs w:val="30"/>
          <w:highlight w:val="none"/>
          <w:lang w:eastAsia="zh-CN"/>
        </w:rPr>
        <w:t>（</w:t>
      </w:r>
      <w:r>
        <w:rPr>
          <w:rFonts w:hint="eastAsia" w:ascii="宋体" w:hAnsi="宋体" w:cs="宋体"/>
          <w:color w:val="auto"/>
          <w:sz w:val="30"/>
          <w:szCs w:val="30"/>
          <w:highlight w:val="none"/>
          <w:lang w:val="en-US" w:eastAsia="zh-CN"/>
        </w:rPr>
        <w:t>合伙人</w:t>
      </w:r>
      <w:r>
        <w:rPr>
          <w:rFonts w:hint="eastAsia" w:ascii="宋体" w:hAnsi="宋体" w:cs="宋体"/>
          <w:color w:val="auto"/>
          <w:sz w:val="30"/>
          <w:szCs w:val="30"/>
          <w:highlight w:val="none"/>
          <w:lang w:eastAsia="zh-CN"/>
        </w:rPr>
        <w:t>）</w:t>
      </w:r>
      <w:r>
        <w:rPr>
          <w:rFonts w:hint="eastAsia" w:ascii="宋体" w:hAnsi="宋体" w:eastAsia="宋体" w:cs="宋体"/>
          <w:color w:val="auto"/>
          <w:sz w:val="30"/>
          <w:szCs w:val="30"/>
          <w:highlight w:val="none"/>
        </w:rPr>
        <w:t>或其委托代理人（签字或盖章）:</w:t>
      </w:r>
      <w:bookmarkEnd w:id="165"/>
      <w:bookmarkEnd w:id="166"/>
      <w:bookmarkEnd w:id="167"/>
      <w:bookmarkEnd w:id="168"/>
      <w:r>
        <w:rPr>
          <w:rFonts w:hint="eastAsia" w:ascii="宋体" w:hAnsi="宋体" w:eastAsia="宋体" w:cs="宋体"/>
          <w:color w:val="auto"/>
          <w:sz w:val="30"/>
          <w:szCs w:val="30"/>
          <w:highlight w:val="none"/>
          <w:u w:val="single"/>
        </w:rPr>
        <w:t xml:space="preserve">             </w:t>
      </w:r>
    </w:p>
    <w:p w14:paraId="2544B2CF">
      <w:pPr>
        <w:spacing w:line="520" w:lineRule="exact"/>
        <w:ind w:firstLine="2192" w:firstLineChars="685"/>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u w:val="single"/>
        </w:rPr>
        <w:t xml:space="preserve">         </w:t>
      </w:r>
      <w:bookmarkStart w:id="169" w:name="_Toc4769"/>
      <w:bookmarkStart w:id="170" w:name="_Toc9772"/>
      <w:bookmarkStart w:id="171" w:name="_Toc5559"/>
      <w:bookmarkStart w:id="172" w:name="_Toc24282"/>
      <w:r>
        <w:rPr>
          <w:rFonts w:hint="eastAsia" w:ascii="宋体" w:hAnsi="宋体" w:eastAsia="宋体" w:cs="宋体"/>
          <w:color w:val="auto"/>
          <w:sz w:val="32"/>
          <w:szCs w:val="32"/>
          <w:highlight w:val="none"/>
        </w:rPr>
        <w:t>年</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月</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日</w:t>
      </w:r>
      <w:bookmarkEnd w:id="169"/>
      <w:bookmarkEnd w:id="170"/>
      <w:bookmarkEnd w:id="171"/>
      <w:bookmarkEnd w:id="172"/>
    </w:p>
    <w:p w14:paraId="2E388123">
      <w:pPr>
        <w:pStyle w:val="3"/>
        <w:keepNext w:val="0"/>
        <w:widowControl w:val="0"/>
        <w:spacing w:before="0" w:after="0" w:line="520" w:lineRule="exact"/>
        <w:jc w:val="center"/>
        <w:rPr>
          <w:rFonts w:hint="eastAsia" w:ascii="宋体" w:hAnsi="宋体" w:eastAsia="宋体" w:cs="宋体"/>
          <w:b/>
          <w:bCs w:val="0"/>
          <w:color w:val="auto"/>
          <w:highlight w:val="none"/>
        </w:rPr>
      </w:pPr>
      <w:bookmarkStart w:id="173" w:name="_Toc11830"/>
      <w:bookmarkStart w:id="174" w:name="_Toc904"/>
      <w:r>
        <w:rPr>
          <w:rFonts w:hint="eastAsia" w:ascii="宋体" w:hAnsi="宋体" w:eastAsia="宋体" w:cs="宋体"/>
          <w:b w:val="0"/>
          <w:color w:val="auto"/>
          <w:sz w:val="30"/>
          <w:szCs w:val="30"/>
          <w:highlight w:val="none"/>
        </w:rPr>
        <w:br w:type="page"/>
      </w:r>
      <w:bookmarkStart w:id="175" w:name="_Toc12920"/>
      <w:r>
        <w:rPr>
          <w:rFonts w:hint="eastAsia" w:ascii="宋体" w:hAnsi="宋体" w:eastAsia="宋体" w:cs="宋体"/>
          <w:b/>
          <w:bCs w:val="0"/>
          <w:color w:val="auto"/>
          <w:sz w:val="30"/>
          <w:szCs w:val="30"/>
          <w:highlight w:val="none"/>
        </w:rPr>
        <w:t>（一）企业证照</w:t>
      </w:r>
      <w:bookmarkEnd w:id="173"/>
      <w:bookmarkEnd w:id="174"/>
      <w:bookmarkEnd w:id="175"/>
    </w:p>
    <w:p w14:paraId="450E24CA">
      <w:pPr>
        <w:widowControl w:val="0"/>
        <w:spacing w:line="520" w:lineRule="exact"/>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供应商为法人、其他组织或者自然人；提供有效的营业执照或事业单位法人证书或民办非企业登记证书或社会团体登记证或自然人身份证明。</w:t>
      </w:r>
    </w:p>
    <w:p w14:paraId="1C953EB9">
      <w:pPr>
        <w:widowControl w:val="0"/>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0E33FB36">
      <w:pPr>
        <w:widowControl w:val="0"/>
        <w:spacing w:line="520" w:lineRule="exact"/>
        <w:jc w:val="center"/>
        <w:rPr>
          <w:rFonts w:hint="eastAsia" w:ascii="宋体" w:hAnsi="宋体" w:eastAsia="宋体" w:cs="宋体"/>
          <w:bCs/>
          <w:color w:val="auto"/>
          <w:sz w:val="24"/>
          <w:szCs w:val="24"/>
          <w:highlight w:val="none"/>
        </w:rPr>
      </w:pPr>
      <w:bookmarkStart w:id="176" w:name="_Toc31395"/>
      <w:bookmarkStart w:id="177" w:name="_Toc432792979"/>
    </w:p>
    <w:p w14:paraId="5CDCC700">
      <w:pPr>
        <w:widowControl w:val="0"/>
        <w:spacing w:line="520" w:lineRule="exact"/>
        <w:jc w:val="both"/>
        <w:rPr>
          <w:rFonts w:hint="eastAsia" w:ascii="宋体" w:hAnsi="宋体" w:eastAsia="宋体" w:cs="宋体"/>
          <w:bCs/>
          <w:color w:val="auto"/>
          <w:sz w:val="24"/>
          <w:szCs w:val="24"/>
          <w:highlight w:val="none"/>
        </w:rPr>
      </w:pPr>
    </w:p>
    <w:p w14:paraId="64DA2C15">
      <w:pPr>
        <w:pStyle w:val="3"/>
        <w:keepNext w:val="0"/>
        <w:widowControl w:val="0"/>
        <w:spacing w:before="0" w:after="0" w:line="520" w:lineRule="exact"/>
        <w:jc w:val="center"/>
        <w:rPr>
          <w:rFonts w:hint="eastAsia" w:ascii="宋体" w:hAnsi="宋体" w:eastAsia="宋体" w:cs="宋体"/>
          <w:b/>
          <w:bCs w:val="0"/>
          <w:color w:val="auto"/>
          <w:sz w:val="30"/>
          <w:szCs w:val="30"/>
          <w:highlight w:val="none"/>
          <w:lang w:eastAsia="zh-CN"/>
        </w:rPr>
      </w:pPr>
      <w:bookmarkStart w:id="178" w:name="_Toc13550"/>
      <w:r>
        <w:rPr>
          <w:rFonts w:hint="eastAsia" w:ascii="宋体" w:hAnsi="宋体" w:eastAsia="宋体" w:cs="宋体"/>
          <w:bCs w:val="0"/>
          <w:color w:val="auto"/>
          <w:sz w:val="30"/>
          <w:szCs w:val="30"/>
          <w:highlight w:val="none"/>
        </w:rPr>
        <w:br w:type="page"/>
      </w:r>
      <w:bookmarkStart w:id="179" w:name="_Toc14248"/>
      <w:r>
        <w:rPr>
          <w:rFonts w:hint="eastAsia" w:ascii="宋体" w:hAnsi="宋体" w:eastAsia="宋体" w:cs="宋体"/>
          <w:b/>
          <w:bCs w:val="0"/>
          <w:color w:val="auto"/>
          <w:sz w:val="30"/>
          <w:szCs w:val="30"/>
          <w:highlight w:val="none"/>
          <w:lang w:eastAsia="zh-CN"/>
        </w:rPr>
        <w:t>（</w:t>
      </w:r>
      <w:r>
        <w:rPr>
          <w:rFonts w:hint="eastAsia" w:ascii="宋体" w:hAnsi="宋体" w:eastAsia="宋体" w:cs="宋体"/>
          <w:b/>
          <w:bCs w:val="0"/>
          <w:color w:val="auto"/>
          <w:sz w:val="30"/>
          <w:szCs w:val="30"/>
          <w:highlight w:val="none"/>
          <w:lang w:val="en-US" w:eastAsia="zh-CN"/>
        </w:rPr>
        <w:t>二</w:t>
      </w:r>
      <w:r>
        <w:rPr>
          <w:rFonts w:hint="eastAsia" w:ascii="宋体" w:hAnsi="宋体" w:eastAsia="宋体" w:cs="宋体"/>
          <w:b/>
          <w:bCs w:val="0"/>
          <w:color w:val="auto"/>
          <w:sz w:val="30"/>
          <w:szCs w:val="30"/>
          <w:highlight w:val="none"/>
          <w:lang w:eastAsia="zh-CN"/>
        </w:rPr>
        <w:t>）本项目接受分支机构投标且分支机构须具备有效的营业执照或其它法定证照；同一公司，仅能授权一家分支机构参加投标；分公司参与本项目投标的，须提供总公司针对本项目投标的授权书。（</w:t>
      </w:r>
      <w:r>
        <w:rPr>
          <w:rFonts w:hint="eastAsia" w:ascii="宋体" w:hAnsi="宋体" w:eastAsia="宋体" w:cs="宋体"/>
          <w:b/>
          <w:bCs w:val="0"/>
          <w:color w:val="auto"/>
          <w:sz w:val="30"/>
          <w:szCs w:val="30"/>
          <w:highlight w:val="none"/>
          <w:lang w:val="en-US" w:eastAsia="zh-CN"/>
        </w:rPr>
        <w:t>如有</w:t>
      </w:r>
      <w:r>
        <w:rPr>
          <w:rFonts w:hint="eastAsia" w:ascii="宋体" w:hAnsi="宋体" w:eastAsia="宋体" w:cs="宋体"/>
          <w:b/>
          <w:bCs w:val="0"/>
          <w:color w:val="auto"/>
          <w:sz w:val="30"/>
          <w:szCs w:val="30"/>
          <w:highlight w:val="none"/>
          <w:lang w:eastAsia="zh-CN"/>
        </w:rPr>
        <w:t>）</w:t>
      </w:r>
    </w:p>
    <w:p w14:paraId="059F9FC8">
      <w:pPr>
        <w:rPr>
          <w:rFonts w:hint="eastAsia" w:ascii="宋体" w:hAnsi="宋体" w:eastAsia="宋体" w:cs="宋体"/>
          <w:b/>
          <w:bCs w:val="0"/>
          <w:color w:val="auto"/>
          <w:sz w:val="30"/>
          <w:szCs w:val="30"/>
          <w:highlight w:val="none"/>
          <w:lang w:eastAsia="zh-CN"/>
        </w:rPr>
      </w:pPr>
      <w:r>
        <w:rPr>
          <w:rFonts w:hint="eastAsia" w:ascii="宋体" w:hAnsi="宋体" w:eastAsia="宋体" w:cs="宋体"/>
          <w:b/>
          <w:bCs w:val="0"/>
          <w:color w:val="auto"/>
          <w:sz w:val="30"/>
          <w:szCs w:val="30"/>
          <w:highlight w:val="none"/>
          <w:lang w:eastAsia="zh-CN"/>
        </w:rPr>
        <w:br w:type="page"/>
      </w:r>
    </w:p>
    <w:p w14:paraId="7B1E1A64">
      <w:pPr>
        <w:pStyle w:val="3"/>
        <w:keepNext w:val="0"/>
        <w:widowControl w:val="0"/>
        <w:spacing w:before="0" w:after="0" w:line="520" w:lineRule="exact"/>
        <w:jc w:val="center"/>
        <w:rPr>
          <w:rFonts w:hint="eastAsia" w:ascii="宋体" w:hAnsi="宋体" w:eastAsia="宋体" w:cs="宋体"/>
          <w:b/>
          <w:bCs w:val="0"/>
          <w:color w:val="auto"/>
          <w:sz w:val="30"/>
          <w:szCs w:val="30"/>
          <w:highlight w:val="none"/>
          <w:lang w:eastAsia="zh-CN"/>
        </w:rPr>
      </w:pPr>
      <w:r>
        <w:rPr>
          <w:rFonts w:hint="eastAsia" w:ascii="宋体" w:hAnsi="宋体" w:eastAsia="宋体" w:cs="宋体"/>
          <w:b/>
          <w:bCs w:val="0"/>
          <w:color w:val="auto"/>
          <w:sz w:val="30"/>
          <w:szCs w:val="30"/>
          <w:highlight w:val="none"/>
          <w:lang w:eastAsia="zh-CN"/>
        </w:rPr>
        <w:t>（</w:t>
      </w:r>
      <w:r>
        <w:rPr>
          <w:rFonts w:hint="eastAsia" w:ascii="宋体" w:hAnsi="宋体" w:eastAsia="宋体" w:cs="宋体"/>
          <w:b/>
          <w:bCs w:val="0"/>
          <w:color w:val="auto"/>
          <w:sz w:val="30"/>
          <w:szCs w:val="30"/>
          <w:highlight w:val="none"/>
          <w:lang w:val="en-US" w:eastAsia="zh-CN"/>
        </w:rPr>
        <w:t>三</w:t>
      </w:r>
      <w:r>
        <w:rPr>
          <w:rFonts w:hint="eastAsia" w:ascii="宋体" w:hAnsi="宋体" w:eastAsia="宋体" w:cs="宋体"/>
          <w:b/>
          <w:bCs w:val="0"/>
          <w:color w:val="auto"/>
          <w:sz w:val="30"/>
          <w:szCs w:val="30"/>
          <w:highlight w:val="none"/>
          <w:lang w:eastAsia="zh-CN"/>
        </w:rPr>
        <w:t>）须具有开展相关审计工作所需的执业证书。</w:t>
      </w:r>
    </w:p>
    <w:p w14:paraId="6AE8A173">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7DE06CC3">
      <w:pPr>
        <w:pStyle w:val="3"/>
        <w:keepNext w:val="0"/>
        <w:widowControl w:val="0"/>
        <w:spacing w:before="0" w:after="0" w:line="520" w:lineRule="exact"/>
        <w:jc w:val="center"/>
        <w:rPr>
          <w:rFonts w:hint="eastAsia" w:ascii="宋体" w:hAnsi="宋体" w:eastAsia="宋体" w:cs="宋体"/>
          <w:b/>
          <w:bCs w:val="0"/>
          <w:color w:val="auto"/>
          <w:sz w:val="30"/>
          <w:szCs w:val="30"/>
          <w:highlight w:val="none"/>
          <w:lang w:val="en-US" w:eastAsia="zh-CN"/>
        </w:rPr>
      </w:pPr>
      <w:r>
        <w:rPr>
          <w:rFonts w:hint="eastAsia" w:ascii="宋体" w:hAnsi="宋体" w:eastAsia="宋体" w:cs="宋体"/>
          <w:b/>
          <w:bCs w:val="0"/>
          <w:color w:val="auto"/>
          <w:sz w:val="30"/>
          <w:szCs w:val="30"/>
          <w:highlight w:val="none"/>
          <w:lang w:val="en-US" w:eastAsia="zh-CN"/>
        </w:rPr>
        <w:t>（四）财务要求</w:t>
      </w:r>
    </w:p>
    <w:p w14:paraId="03F5C885">
      <w:pPr>
        <w:pStyle w:val="4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提供2022至2024年中任意一年的经审计的财务报告或近三个月内基本开户银行出具的资信证明（成立时间不足一年的，可提供近三个月内基本开户银行出具的资信证明或自成立至今经第三方审计的财务报告）。</w:t>
      </w:r>
    </w:p>
    <w:p w14:paraId="1E70E95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C933363">
      <w:pPr>
        <w:pStyle w:val="3"/>
        <w:keepNext w:val="0"/>
        <w:widowControl w:val="0"/>
        <w:spacing w:before="0" w:after="0" w:line="520" w:lineRule="exact"/>
        <w:jc w:val="center"/>
        <w:rPr>
          <w:rFonts w:hint="eastAsia" w:ascii="宋体" w:hAnsi="宋体" w:eastAsia="宋体" w:cs="宋体"/>
          <w:color w:val="auto"/>
          <w:sz w:val="24"/>
          <w:szCs w:val="24"/>
          <w:highlight w:val="none"/>
        </w:rPr>
      </w:pPr>
      <w:r>
        <w:rPr>
          <w:rFonts w:hint="eastAsia" w:ascii="宋体" w:hAnsi="宋体" w:eastAsia="宋体" w:cs="宋体"/>
          <w:b/>
          <w:bCs w:val="0"/>
          <w:color w:val="auto"/>
          <w:sz w:val="30"/>
          <w:szCs w:val="30"/>
          <w:highlight w:val="none"/>
          <w:lang w:val="en-US" w:eastAsia="zh-CN"/>
        </w:rPr>
        <w:t>（五）供应商应在“信用中国”网站（www.creditchina.gov.cn）未被列入失信被执行人记录、重大税收违法失信主体且在中国政府采购网(www.ccgp.gov.cn)没有政府采购严重违法失信行为记录。</w:t>
      </w:r>
    </w:p>
    <w:p w14:paraId="46A53449">
      <w:pPr>
        <w:rPr>
          <w:rFonts w:hint="eastAsia" w:ascii="宋体" w:hAnsi="宋体" w:eastAsia="宋体" w:cs="宋体"/>
          <w:bCs w:val="0"/>
          <w:color w:val="auto"/>
          <w:sz w:val="30"/>
          <w:szCs w:val="30"/>
          <w:highlight w:val="none"/>
        </w:rPr>
      </w:pPr>
      <w:r>
        <w:rPr>
          <w:rFonts w:hint="eastAsia" w:ascii="宋体" w:hAnsi="宋体" w:eastAsia="宋体" w:cs="宋体"/>
          <w:bCs w:val="0"/>
          <w:color w:val="auto"/>
          <w:sz w:val="30"/>
          <w:szCs w:val="30"/>
          <w:highlight w:val="none"/>
        </w:rPr>
        <w:br w:type="page"/>
      </w:r>
    </w:p>
    <w:p w14:paraId="7D63475C">
      <w:pPr>
        <w:pStyle w:val="3"/>
        <w:keepNext w:val="0"/>
        <w:widowControl w:val="0"/>
        <w:spacing w:before="0" w:after="0" w:line="520" w:lineRule="exact"/>
        <w:jc w:val="center"/>
        <w:outlineLvl w:val="1"/>
        <w:rPr>
          <w:rFonts w:hint="eastAsia" w:ascii="宋体" w:hAnsi="宋体" w:eastAsia="宋体" w:cs="宋体"/>
          <w:b/>
          <w:bCs w:val="0"/>
          <w:color w:val="auto"/>
          <w:sz w:val="30"/>
          <w:szCs w:val="30"/>
          <w:highlight w:val="none"/>
          <w:lang w:eastAsia="zh-CN"/>
        </w:rPr>
      </w:pPr>
      <w:r>
        <w:rPr>
          <w:rFonts w:hint="eastAsia" w:ascii="宋体" w:hAnsi="宋体" w:eastAsia="宋体" w:cs="宋体"/>
          <w:b/>
          <w:bCs w:val="0"/>
          <w:color w:val="auto"/>
          <w:sz w:val="30"/>
          <w:szCs w:val="30"/>
          <w:highlight w:val="none"/>
        </w:rPr>
        <w:t>（</w:t>
      </w:r>
      <w:r>
        <w:rPr>
          <w:rFonts w:hint="eastAsia" w:ascii="宋体" w:hAnsi="宋体" w:eastAsia="宋体" w:cs="宋体"/>
          <w:b/>
          <w:bCs w:val="0"/>
          <w:color w:val="auto"/>
          <w:sz w:val="30"/>
          <w:szCs w:val="30"/>
          <w:highlight w:val="none"/>
          <w:lang w:val="en-US" w:eastAsia="zh-CN"/>
        </w:rPr>
        <w:t>六</w:t>
      </w:r>
      <w:r>
        <w:rPr>
          <w:rFonts w:hint="eastAsia" w:ascii="宋体" w:hAnsi="宋体" w:eastAsia="宋体" w:cs="宋体"/>
          <w:b/>
          <w:bCs w:val="0"/>
          <w:color w:val="auto"/>
          <w:sz w:val="30"/>
          <w:szCs w:val="30"/>
          <w:highlight w:val="none"/>
        </w:rPr>
        <w:t>）近三年类似业绩一览表</w:t>
      </w:r>
      <w:bookmarkEnd w:id="178"/>
      <w:bookmarkEnd w:id="179"/>
    </w:p>
    <w:tbl>
      <w:tblPr>
        <w:tblStyle w:val="25"/>
        <w:tblW w:w="878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22"/>
        <w:gridCol w:w="2502"/>
        <w:gridCol w:w="1667"/>
        <w:gridCol w:w="2333"/>
        <w:gridCol w:w="1460"/>
      </w:tblGrid>
      <w:tr w14:paraId="483FE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73" w:hRule="atLeast"/>
          <w:jc w:val="center"/>
        </w:trPr>
        <w:tc>
          <w:tcPr>
            <w:tcW w:w="822" w:type="dxa"/>
            <w:tcBorders>
              <w:top w:val="single" w:color="auto" w:sz="6" w:space="0"/>
              <w:left w:val="single" w:color="auto" w:sz="6" w:space="0"/>
              <w:bottom w:val="single" w:color="auto" w:sz="6" w:space="0"/>
              <w:right w:val="single" w:color="auto" w:sz="6" w:space="0"/>
            </w:tcBorders>
            <w:noWrap w:val="0"/>
            <w:vAlign w:val="center"/>
          </w:tcPr>
          <w:p w14:paraId="1B406385">
            <w:pPr>
              <w:spacing w:line="276"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502" w:type="dxa"/>
            <w:tcBorders>
              <w:top w:val="single" w:color="auto" w:sz="6" w:space="0"/>
              <w:left w:val="single" w:color="auto" w:sz="6" w:space="0"/>
              <w:bottom w:val="single" w:color="auto" w:sz="6" w:space="0"/>
              <w:right w:val="single" w:color="auto" w:sz="6" w:space="0"/>
            </w:tcBorders>
            <w:noWrap w:val="0"/>
            <w:vAlign w:val="center"/>
          </w:tcPr>
          <w:p w14:paraId="25050762">
            <w:pPr>
              <w:spacing w:line="276"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1667" w:type="dxa"/>
            <w:tcBorders>
              <w:top w:val="single" w:color="auto" w:sz="6" w:space="0"/>
              <w:left w:val="single" w:color="auto" w:sz="6" w:space="0"/>
              <w:bottom w:val="single" w:color="auto" w:sz="6" w:space="0"/>
              <w:right w:val="single" w:color="auto" w:sz="4" w:space="0"/>
            </w:tcBorders>
            <w:noWrap w:val="0"/>
            <w:vAlign w:val="center"/>
          </w:tcPr>
          <w:p w14:paraId="08B77097">
            <w:pPr>
              <w:spacing w:line="276"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委托单位</w:t>
            </w:r>
          </w:p>
        </w:tc>
        <w:tc>
          <w:tcPr>
            <w:tcW w:w="2333" w:type="dxa"/>
            <w:tcBorders>
              <w:top w:val="single" w:color="auto" w:sz="6" w:space="0"/>
              <w:left w:val="single" w:color="auto" w:sz="4" w:space="0"/>
              <w:bottom w:val="single" w:color="auto" w:sz="6" w:space="0"/>
              <w:right w:val="single" w:color="auto" w:sz="4" w:space="0"/>
            </w:tcBorders>
            <w:noWrap w:val="0"/>
            <w:vAlign w:val="center"/>
          </w:tcPr>
          <w:p w14:paraId="7A603C8A">
            <w:pPr>
              <w:spacing w:line="276"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服务内容</w:t>
            </w:r>
          </w:p>
        </w:tc>
        <w:tc>
          <w:tcPr>
            <w:tcW w:w="1460" w:type="dxa"/>
            <w:tcBorders>
              <w:top w:val="single" w:color="auto" w:sz="6" w:space="0"/>
              <w:left w:val="single" w:color="auto" w:sz="6" w:space="0"/>
              <w:bottom w:val="single" w:color="auto" w:sz="6" w:space="0"/>
              <w:right w:val="single" w:color="auto" w:sz="6" w:space="0"/>
            </w:tcBorders>
            <w:noWrap w:val="0"/>
            <w:vAlign w:val="center"/>
          </w:tcPr>
          <w:p w14:paraId="20B89CFF">
            <w:pPr>
              <w:spacing w:line="276" w:lineRule="auto"/>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服务周期</w:t>
            </w:r>
          </w:p>
        </w:tc>
      </w:tr>
      <w:tr w14:paraId="0E27B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813" w:hRule="atLeast"/>
          <w:jc w:val="center"/>
        </w:trPr>
        <w:tc>
          <w:tcPr>
            <w:tcW w:w="822" w:type="dxa"/>
            <w:tcBorders>
              <w:top w:val="single" w:color="auto" w:sz="6" w:space="0"/>
              <w:left w:val="single" w:color="auto" w:sz="6" w:space="0"/>
              <w:bottom w:val="single" w:color="auto" w:sz="6" w:space="0"/>
              <w:right w:val="single" w:color="auto" w:sz="6" w:space="0"/>
            </w:tcBorders>
            <w:noWrap w:val="0"/>
            <w:vAlign w:val="center"/>
          </w:tcPr>
          <w:p w14:paraId="0973AF2C">
            <w:pPr>
              <w:spacing w:line="360" w:lineRule="auto"/>
              <w:ind w:left="12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502" w:type="dxa"/>
            <w:tcBorders>
              <w:top w:val="single" w:color="auto" w:sz="6" w:space="0"/>
              <w:left w:val="single" w:color="auto" w:sz="6" w:space="0"/>
              <w:bottom w:val="single" w:color="auto" w:sz="6" w:space="0"/>
              <w:right w:val="single" w:color="auto" w:sz="6" w:space="0"/>
            </w:tcBorders>
            <w:noWrap w:val="0"/>
            <w:vAlign w:val="center"/>
          </w:tcPr>
          <w:p w14:paraId="7DD6DF70">
            <w:pPr>
              <w:spacing w:line="360" w:lineRule="auto"/>
              <w:jc w:val="center"/>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4" w:space="0"/>
            </w:tcBorders>
            <w:noWrap w:val="0"/>
            <w:vAlign w:val="center"/>
          </w:tcPr>
          <w:p w14:paraId="1664D245">
            <w:pPr>
              <w:spacing w:line="360" w:lineRule="auto"/>
              <w:jc w:val="center"/>
              <w:rPr>
                <w:rFonts w:hint="eastAsia" w:ascii="宋体" w:hAnsi="宋体" w:eastAsia="宋体" w:cs="宋体"/>
                <w:color w:val="auto"/>
                <w:szCs w:val="21"/>
                <w:highlight w:val="none"/>
              </w:rPr>
            </w:pPr>
          </w:p>
        </w:tc>
        <w:tc>
          <w:tcPr>
            <w:tcW w:w="2333" w:type="dxa"/>
            <w:tcBorders>
              <w:top w:val="single" w:color="auto" w:sz="6" w:space="0"/>
              <w:left w:val="single" w:color="auto" w:sz="4" w:space="0"/>
              <w:bottom w:val="single" w:color="auto" w:sz="6" w:space="0"/>
              <w:right w:val="single" w:color="auto" w:sz="4" w:space="0"/>
            </w:tcBorders>
            <w:noWrap w:val="0"/>
            <w:vAlign w:val="center"/>
          </w:tcPr>
          <w:p w14:paraId="30FBE43E">
            <w:pPr>
              <w:spacing w:line="360" w:lineRule="auto"/>
              <w:jc w:val="center"/>
              <w:rPr>
                <w:rFonts w:hint="eastAsia" w:ascii="宋体" w:hAnsi="宋体" w:eastAsia="宋体" w:cs="宋体"/>
                <w:color w:val="auto"/>
                <w:szCs w:val="21"/>
                <w:highlight w:val="none"/>
              </w:rPr>
            </w:pPr>
          </w:p>
        </w:tc>
        <w:tc>
          <w:tcPr>
            <w:tcW w:w="1460" w:type="dxa"/>
            <w:tcBorders>
              <w:top w:val="single" w:color="auto" w:sz="6" w:space="0"/>
              <w:left w:val="single" w:color="auto" w:sz="6" w:space="0"/>
              <w:bottom w:val="single" w:color="auto" w:sz="6" w:space="0"/>
              <w:right w:val="single" w:color="auto" w:sz="6" w:space="0"/>
            </w:tcBorders>
            <w:noWrap w:val="0"/>
            <w:vAlign w:val="center"/>
          </w:tcPr>
          <w:p w14:paraId="164D7788">
            <w:pPr>
              <w:spacing w:line="360" w:lineRule="auto"/>
              <w:jc w:val="center"/>
              <w:rPr>
                <w:rFonts w:hint="eastAsia" w:ascii="宋体" w:hAnsi="宋体" w:eastAsia="宋体" w:cs="宋体"/>
                <w:color w:val="auto"/>
                <w:szCs w:val="21"/>
                <w:highlight w:val="none"/>
              </w:rPr>
            </w:pPr>
          </w:p>
        </w:tc>
      </w:tr>
      <w:tr w14:paraId="32DA4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813" w:hRule="atLeast"/>
          <w:jc w:val="center"/>
        </w:trPr>
        <w:tc>
          <w:tcPr>
            <w:tcW w:w="822" w:type="dxa"/>
            <w:tcBorders>
              <w:top w:val="single" w:color="auto" w:sz="6" w:space="0"/>
              <w:left w:val="single" w:color="auto" w:sz="6" w:space="0"/>
              <w:bottom w:val="single" w:color="auto" w:sz="6" w:space="0"/>
              <w:right w:val="single" w:color="auto" w:sz="6" w:space="0"/>
            </w:tcBorders>
            <w:noWrap w:val="0"/>
            <w:vAlign w:val="center"/>
          </w:tcPr>
          <w:p w14:paraId="218EF872">
            <w:pPr>
              <w:spacing w:line="360" w:lineRule="auto"/>
              <w:ind w:left="12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2502" w:type="dxa"/>
            <w:tcBorders>
              <w:top w:val="single" w:color="auto" w:sz="6" w:space="0"/>
              <w:left w:val="single" w:color="auto" w:sz="6" w:space="0"/>
              <w:bottom w:val="single" w:color="auto" w:sz="6" w:space="0"/>
              <w:right w:val="single" w:color="auto" w:sz="6" w:space="0"/>
            </w:tcBorders>
            <w:noWrap w:val="0"/>
            <w:vAlign w:val="center"/>
          </w:tcPr>
          <w:p w14:paraId="4F97300B">
            <w:pPr>
              <w:spacing w:line="360" w:lineRule="auto"/>
              <w:jc w:val="center"/>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4" w:space="0"/>
            </w:tcBorders>
            <w:noWrap w:val="0"/>
            <w:vAlign w:val="center"/>
          </w:tcPr>
          <w:p w14:paraId="4F298A86">
            <w:pPr>
              <w:spacing w:line="360" w:lineRule="auto"/>
              <w:jc w:val="center"/>
              <w:rPr>
                <w:rFonts w:hint="eastAsia" w:ascii="宋体" w:hAnsi="宋体" w:eastAsia="宋体" w:cs="宋体"/>
                <w:color w:val="auto"/>
                <w:szCs w:val="21"/>
                <w:highlight w:val="none"/>
              </w:rPr>
            </w:pPr>
          </w:p>
        </w:tc>
        <w:tc>
          <w:tcPr>
            <w:tcW w:w="2333" w:type="dxa"/>
            <w:tcBorders>
              <w:top w:val="single" w:color="auto" w:sz="6" w:space="0"/>
              <w:left w:val="single" w:color="auto" w:sz="4" w:space="0"/>
              <w:bottom w:val="single" w:color="auto" w:sz="6" w:space="0"/>
              <w:right w:val="single" w:color="auto" w:sz="4" w:space="0"/>
            </w:tcBorders>
            <w:noWrap w:val="0"/>
            <w:vAlign w:val="center"/>
          </w:tcPr>
          <w:p w14:paraId="271516C2">
            <w:pPr>
              <w:spacing w:line="360" w:lineRule="auto"/>
              <w:jc w:val="center"/>
              <w:rPr>
                <w:rFonts w:hint="eastAsia" w:ascii="宋体" w:hAnsi="宋体" w:eastAsia="宋体" w:cs="宋体"/>
                <w:color w:val="auto"/>
                <w:szCs w:val="21"/>
                <w:highlight w:val="none"/>
              </w:rPr>
            </w:pPr>
          </w:p>
        </w:tc>
        <w:tc>
          <w:tcPr>
            <w:tcW w:w="1460" w:type="dxa"/>
            <w:tcBorders>
              <w:top w:val="single" w:color="auto" w:sz="6" w:space="0"/>
              <w:left w:val="single" w:color="auto" w:sz="6" w:space="0"/>
              <w:bottom w:val="single" w:color="auto" w:sz="6" w:space="0"/>
              <w:right w:val="single" w:color="auto" w:sz="6" w:space="0"/>
            </w:tcBorders>
            <w:noWrap w:val="0"/>
            <w:vAlign w:val="center"/>
          </w:tcPr>
          <w:p w14:paraId="48E8F515">
            <w:pPr>
              <w:spacing w:line="360" w:lineRule="auto"/>
              <w:jc w:val="center"/>
              <w:rPr>
                <w:rFonts w:hint="eastAsia" w:ascii="宋体" w:hAnsi="宋体" w:eastAsia="宋体" w:cs="宋体"/>
                <w:color w:val="auto"/>
                <w:szCs w:val="21"/>
                <w:highlight w:val="none"/>
              </w:rPr>
            </w:pPr>
          </w:p>
        </w:tc>
      </w:tr>
      <w:tr w14:paraId="29C11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813" w:hRule="atLeast"/>
          <w:jc w:val="center"/>
        </w:trPr>
        <w:tc>
          <w:tcPr>
            <w:tcW w:w="822" w:type="dxa"/>
            <w:tcBorders>
              <w:top w:val="single" w:color="auto" w:sz="6" w:space="0"/>
              <w:left w:val="single" w:color="auto" w:sz="6" w:space="0"/>
              <w:bottom w:val="single" w:color="auto" w:sz="6" w:space="0"/>
              <w:right w:val="single" w:color="auto" w:sz="6" w:space="0"/>
            </w:tcBorders>
            <w:noWrap w:val="0"/>
            <w:vAlign w:val="center"/>
          </w:tcPr>
          <w:p w14:paraId="43CDBEE2">
            <w:pPr>
              <w:spacing w:line="360" w:lineRule="auto"/>
              <w:ind w:left="12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2502" w:type="dxa"/>
            <w:tcBorders>
              <w:top w:val="single" w:color="auto" w:sz="6" w:space="0"/>
              <w:left w:val="single" w:color="auto" w:sz="6" w:space="0"/>
              <w:bottom w:val="single" w:color="auto" w:sz="6" w:space="0"/>
              <w:right w:val="single" w:color="auto" w:sz="6" w:space="0"/>
            </w:tcBorders>
            <w:noWrap w:val="0"/>
            <w:vAlign w:val="center"/>
          </w:tcPr>
          <w:p w14:paraId="2B286F6A">
            <w:pPr>
              <w:spacing w:line="360" w:lineRule="auto"/>
              <w:jc w:val="center"/>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4" w:space="0"/>
            </w:tcBorders>
            <w:noWrap w:val="0"/>
            <w:vAlign w:val="center"/>
          </w:tcPr>
          <w:p w14:paraId="11797A8B">
            <w:pPr>
              <w:spacing w:line="360" w:lineRule="auto"/>
              <w:jc w:val="center"/>
              <w:rPr>
                <w:rFonts w:hint="eastAsia" w:ascii="宋体" w:hAnsi="宋体" w:eastAsia="宋体" w:cs="宋体"/>
                <w:color w:val="auto"/>
                <w:szCs w:val="21"/>
                <w:highlight w:val="none"/>
              </w:rPr>
            </w:pPr>
          </w:p>
        </w:tc>
        <w:tc>
          <w:tcPr>
            <w:tcW w:w="2333" w:type="dxa"/>
            <w:tcBorders>
              <w:top w:val="single" w:color="auto" w:sz="6" w:space="0"/>
              <w:left w:val="single" w:color="auto" w:sz="4" w:space="0"/>
              <w:bottom w:val="single" w:color="auto" w:sz="6" w:space="0"/>
              <w:right w:val="single" w:color="auto" w:sz="4" w:space="0"/>
            </w:tcBorders>
            <w:noWrap w:val="0"/>
            <w:vAlign w:val="center"/>
          </w:tcPr>
          <w:p w14:paraId="21867FBA">
            <w:pPr>
              <w:spacing w:line="360" w:lineRule="auto"/>
              <w:jc w:val="center"/>
              <w:rPr>
                <w:rFonts w:hint="eastAsia" w:ascii="宋体" w:hAnsi="宋体" w:eastAsia="宋体" w:cs="宋体"/>
                <w:color w:val="auto"/>
                <w:szCs w:val="21"/>
                <w:highlight w:val="none"/>
              </w:rPr>
            </w:pPr>
          </w:p>
        </w:tc>
        <w:tc>
          <w:tcPr>
            <w:tcW w:w="1460" w:type="dxa"/>
            <w:tcBorders>
              <w:top w:val="single" w:color="auto" w:sz="6" w:space="0"/>
              <w:left w:val="single" w:color="auto" w:sz="6" w:space="0"/>
              <w:bottom w:val="single" w:color="auto" w:sz="6" w:space="0"/>
              <w:right w:val="single" w:color="auto" w:sz="6" w:space="0"/>
            </w:tcBorders>
            <w:noWrap w:val="0"/>
            <w:vAlign w:val="center"/>
          </w:tcPr>
          <w:p w14:paraId="2C00BF66">
            <w:pPr>
              <w:spacing w:line="360" w:lineRule="auto"/>
              <w:jc w:val="center"/>
              <w:rPr>
                <w:rFonts w:hint="eastAsia" w:ascii="宋体" w:hAnsi="宋体" w:eastAsia="宋体" w:cs="宋体"/>
                <w:color w:val="auto"/>
                <w:szCs w:val="21"/>
                <w:highlight w:val="none"/>
              </w:rPr>
            </w:pPr>
          </w:p>
        </w:tc>
      </w:tr>
      <w:tr w14:paraId="677E9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813" w:hRule="atLeast"/>
          <w:jc w:val="center"/>
        </w:trPr>
        <w:tc>
          <w:tcPr>
            <w:tcW w:w="822" w:type="dxa"/>
            <w:tcBorders>
              <w:top w:val="single" w:color="auto" w:sz="6" w:space="0"/>
              <w:left w:val="single" w:color="auto" w:sz="6" w:space="0"/>
              <w:bottom w:val="single" w:color="auto" w:sz="6" w:space="0"/>
              <w:right w:val="single" w:color="auto" w:sz="6" w:space="0"/>
            </w:tcBorders>
            <w:noWrap w:val="0"/>
            <w:vAlign w:val="center"/>
          </w:tcPr>
          <w:p w14:paraId="6FAEDE6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502" w:type="dxa"/>
            <w:tcBorders>
              <w:top w:val="single" w:color="auto" w:sz="6" w:space="0"/>
              <w:left w:val="single" w:color="auto" w:sz="6" w:space="0"/>
              <w:bottom w:val="single" w:color="auto" w:sz="6" w:space="0"/>
              <w:right w:val="single" w:color="auto" w:sz="6" w:space="0"/>
            </w:tcBorders>
            <w:noWrap w:val="0"/>
            <w:vAlign w:val="center"/>
          </w:tcPr>
          <w:p w14:paraId="37835FFC">
            <w:pPr>
              <w:spacing w:line="360" w:lineRule="auto"/>
              <w:jc w:val="center"/>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4" w:space="0"/>
            </w:tcBorders>
            <w:noWrap w:val="0"/>
            <w:vAlign w:val="center"/>
          </w:tcPr>
          <w:p w14:paraId="600EBF06">
            <w:pPr>
              <w:spacing w:line="360" w:lineRule="auto"/>
              <w:jc w:val="center"/>
              <w:rPr>
                <w:rFonts w:hint="eastAsia" w:ascii="宋体" w:hAnsi="宋体" w:eastAsia="宋体" w:cs="宋体"/>
                <w:color w:val="auto"/>
                <w:szCs w:val="21"/>
                <w:highlight w:val="none"/>
              </w:rPr>
            </w:pPr>
          </w:p>
        </w:tc>
        <w:tc>
          <w:tcPr>
            <w:tcW w:w="2333" w:type="dxa"/>
            <w:tcBorders>
              <w:top w:val="single" w:color="auto" w:sz="6" w:space="0"/>
              <w:left w:val="single" w:color="auto" w:sz="4" w:space="0"/>
              <w:bottom w:val="single" w:color="auto" w:sz="6" w:space="0"/>
              <w:right w:val="single" w:color="auto" w:sz="4" w:space="0"/>
            </w:tcBorders>
            <w:noWrap w:val="0"/>
            <w:vAlign w:val="center"/>
          </w:tcPr>
          <w:p w14:paraId="50C66031">
            <w:pPr>
              <w:spacing w:line="360" w:lineRule="auto"/>
              <w:jc w:val="center"/>
              <w:rPr>
                <w:rFonts w:hint="eastAsia" w:ascii="宋体" w:hAnsi="宋体" w:eastAsia="宋体" w:cs="宋体"/>
                <w:color w:val="auto"/>
                <w:szCs w:val="21"/>
                <w:highlight w:val="none"/>
              </w:rPr>
            </w:pPr>
          </w:p>
        </w:tc>
        <w:tc>
          <w:tcPr>
            <w:tcW w:w="1460" w:type="dxa"/>
            <w:tcBorders>
              <w:top w:val="single" w:color="auto" w:sz="6" w:space="0"/>
              <w:left w:val="single" w:color="auto" w:sz="6" w:space="0"/>
              <w:bottom w:val="single" w:color="auto" w:sz="6" w:space="0"/>
              <w:right w:val="single" w:color="auto" w:sz="6" w:space="0"/>
            </w:tcBorders>
            <w:noWrap w:val="0"/>
            <w:vAlign w:val="center"/>
          </w:tcPr>
          <w:p w14:paraId="4A21EFF2">
            <w:pPr>
              <w:spacing w:line="360" w:lineRule="auto"/>
              <w:jc w:val="center"/>
              <w:rPr>
                <w:rFonts w:hint="eastAsia" w:ascii="宋体" w:hAnsi="宋体" w:eastAsia="宋体" w:cs="宋体"/>
                <w:color w:val="auto"/>
                <w:szCs w:val="21"/>
                <w:highlight w:val="none"/>
              </w:rPr>
            </w:pPr>
          </w:p>
        </w:tc>
      </w:tr>
    </w:tbl>
    <w:p w14:paraId="0DCEE936">
      <w:pPr>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注：此表可扩展；</w:t>
      </w:r>
      <w:r>
        <w:rPr>
          <w:rFonts w:hint="eastAsia" w:ascii="宋体" w:hAnsi="宋体" w:cs="宋体"/>
          <w:color w:val="auto"/>
          <w:sz w:val="24"/>
          <w:szCs w:val="24"/>
          <w:highlight w:val="none"/>
          <w:lang w:val="en-US" w:eastAsia="zh-CN"/>
        </w:rPr>
        <w:t>供应商根据自身实际情况如实填报</w:t>
      </w:r>
      <w:r>
        <w:rPr>
          <w:rFonts w:hint="eastAsia" w:ascii="宋体" w:hAnsi="宋体" w:eastAsia="宋体" w:cs="宋体"/>
          <w:color w:val="auto"/>
          <w:sz w:val="24"/>
          <w:szCs w:val="24"/>
          <w:highlight w:val="none"/>
        </w:rPr>
        <w:t>。企业业绩：近三年内（2022年至今）最少须具有2个类似项目业绩。（类似项目业绩以中标通知书或合同协议书为准。）并加盖供应商公章。</w:t>
      </w:r>
    </w:p>
    <w:p w14:paraId="0E617EF8">
      <w:pPr>
        <w:spacing w:line="360" w:lineRule="auto"/>
        <w:ind w:firstLine="400" w:firstLineChars="200"/>
        <w:rPr>
          <w:rFonts w:hint="eastAsia" w:ascii="宋体" w:hAnsi="宋体" w:eastAsia="宋体" w:cs="宋体"/>
          <w:color w:val="auto"/>
          <w:szCs w:val="21"/>
          <w:highlight w:val="none"/>
        </w:rPr>
      </w:pPr>
    </w:p>
    <w:p w14:paraId="5FEC5A3C">
      <w:pPr>
        <w:spacing w:line="360" w:lineRule="auto"/>
        <w:ind w:firstLine="480" w:firstLineChars="20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申请人：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（盖单位章）</w:t>
      </w:r>
    </w:p>
    <w:p w14:paraId="21C20742">
      <w:pPr>
        <w:spacing w:line="360" w:lineRule="auto"/>
        <w:ind w:firstLine="480" w:firstLineChars="200"/>
        <w:rPr>
          <w:rFonts w:hint="eastAsia" w:ascii="宋体" w:hAnsi="宋体" w:eastAsia="宋体" w:cs="宋体"/>
          <w:color w:val="auto"/>
          <w:sz w:val="24"/>
          <w:szCs w:val="24"/>
          <w:highlight w:val="none"/>
        </w:rPr>
      </w:pPr>
    </w:p>
    <w:p w14:paraId="466D4CCF">
      <w:pPr>
        <w:spacing w:line="360" w:lineRule="auto"/>
        <w:ind w:firstLine="480" w:firstLineChars="20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法定代表人（合伙人）或委托代理人：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（签字或盖章）</w:t>
      </w:r>
    </w:p>
    <w:p w14:paraId="5FB16AB9">
      <w:pPr>
        <w:spacing w:line="360" w:lineRule="auto"/>
        <w:ind w:firstLine="480" w:firstLineChars="200"/>
        <w:rPr>
          <w:rFonts w:hint="eastAsia" w:ascii="宋体" w:hAnsi="宋体" w:eastAsia="宋体" w:cs="宋体"/>
          <w:color w:val="auto"/>
          <w:sz w:val="24"/>
          <w:szCs w:val="24"/>
          <w:highlight w:val="none"/>
        </w:rPr>
      </w:pPr>
    </w:p>
    <w:p w14:paraId="05196534">
      <w:pPr>
        <w:spacing w:line="360" w:lineRule="auto"/>
        <w:ind w:firstLine="480" w:firstLineChars="20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2B0EF734">
      <w:pPr>
        <w:pStyle w:val="3"/>
        <w:keepNext w:val="0"/>
        <w:widowControl w:val="0"/>
        <w:spacing w:before="0" w:after="0" w:line="520" w:lineRule="exact"/>
        <w:jc w:val="center"/>
        <w:rPr>
          <w:rFonts w:hint="eastAsia" w:ascii="宋体" w:hAnsi="宋体" w:eastAsia="宋体" w:cs="宋体"/>
          <w:b/>
          <w:bCs w:val="0"/>
          <w:color w:val="auto"/>
          <w:sz w:val="30"/>
          <w:szCs w:val="30"/>
          <w:highlight w:val="none"/>
        </w:rPr>
      </w:pPr>
      <w:bookmarkStart w:id="180" w:name="_Toc22885"/>
      <w:r>
        <w:rPr>
          <w:rFonts w:hint="eastAsia" w:ascii="宋体" w:hAnsi="宋体" w:eastAsia="宋体" w:cs="宋体"/>
          <w:bCs w:val="0"/>
          <w:color w:val="auto"/>
          <w:sz w:val="30"/>
          <w:szCs w:val="30"/>
          <w:highlight w:val="none"/>
        </w:rPr>
        <w:br w:type="page"/>
      </w:r>
      <w:bookmarkEnd w:id="180"/>
      <w:bookmarkStart w:id="181" w:name="_Toc19158"/>
      <w:bookmarkStart w:id="182" w:name="_Toc26426"/>
      <w:bookmarkStart w:id="183" w:name="_Toc1195"/>
      <w:bookmarkStart w:id="184" w:name="_Toc480964358"/>
      <w:bookmarkStart w:id="185" w:name="_Toc511681381"/>
      <w:r>
        <w:rPr>
          <w:rFonts w:hint="eastAsia" w:ascii="宋体" w:hAnsi="宋体" w:eastAsia="宋体" w:cs="宋体"/>
          <w:b/>
          <w:bCs w:val="0"/>
          <w:color w:val="auto"/>
          <w:sz w:val="30"/>
          <w:szCs w:val="30"/>
          <w:highlight w:val="none"/>
        </w:rPr>
        <w:t>（</w:t>
      </w:r>
      <w:r>
        <w:rPr>
          <w:rFonts w:hint="eastAsia" w:ascii="宋体" w:hAnsi="宋体" w:eastAsia="宋体" w:cs="宋体"/>
          <w:b/>
          <w:bCs w:val="0"/>
          <w:color w:val="auto"/>
          <w:sz w:val="30"/>
          <w:szCs w:val="30"/>
          <w:highlight w:val="none"/>
          <w:lang w:val="en-US" w:eastAsia="zh-CN"/>
        </w:rPr>
        <w:t>七</w:t>
      </w:r>
      <w:r>
        <w:rPr>
          <w:rFonts w:hint="eastAsia" w:ascii="宋体" w:hAnsi="宋体" w:eastAsia="宋体" w:cs="宋体"/>
          <w:b/>
          <w:bCs w:val="0"/>
          <w:color w:val="auto"/>
          <w:sz w:val="30"/>
          <w:szCs w:val="30"/>
          <w:highlight w:val="none"/>
        </w:rPr>
        <w:t>）企业信誉情况</w:t>
      </w:r>
      <w:bookmarkEnd w:id="181"/>
      <w:bookmarkEnd w:id="182"/>
    </w:p>
    <w:p w14:paraId="32ECE1F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供应商自2022年1月1日至今未被依法暂停或者取消投标资格；未被责令停产停业、暂扣或者吊销许可证、暂扣或者吊销执照；未进入清算程序或被宣告破产或其他丧失履约能力的情形。(由供应商以承诺书的方式进行承诺)</w:t>
      </w:r>
      <w:r>
        <w:rPr>
          <w:rFonts w:hint="eastAsia" w:ascii="宋体" w:hAnsi="宋体" w:eastAsia="宋体" w:cs="宋体"/>
          <w:color w:val="auto"/>
          <w:sz w:val="24"/>
          <w:szCs w:val="24"/>
          <w:highlight w:val="none"/>
        </w:rPr>
        <w:t>；</w:t>
      </w:r>
    </w:p>
    <w:p w14:paraId="4AA0452B">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供应商应当具有良好的商业与社会信誉，未被列入“信用中国”网站（www.creditchina.gov.cn）的“失信被执行人”及“重大税收违法失信主体”名单。</w:t>
      </w:r>
    </w:p>
    <w:p w14:paraId="40FFE1C8">
      <w:pPr>
        <w:jc w:val="center"/>
        <w:rPr>
          <w:rFonts w:hint="eastAsia" w:ascii="宋体" w:hAnsi="宋体" w:eastAsia="宋体" w:cs="宋体"/>
          <w:color w:val="auto"/>
          <w:sz w:val="24"/>
          <w:szCs w:val="24"/>
          <w:highlight w:val="none"/>
        </w:rPr>
      </w:pPr>
    </w:p>
    <w:p w14:paraId="1B14CC01">
      <w:pPr>
        <w:pStyle w:val="10"/>
        <w:spacing w:after="0" w:line="360" w:lineRule="auto"/>
        <w:jc w:val="center"/>
        <w:rPr>
          <w:rFonts w:hint="eastAsia" w:ascii="宋体" w:hAnsi="宋体" w:eastAsia="宋体" w:cs="宋体"/>
          <w:color w:val="auto"/>
          <w:sz w:val="24"/>
          <w:szCs w:val="24"/>
          <w:highlight w:val="none"/>
        </w:rPr>
      </w:pPr>
    </w:p>
    <w:p w14:paraId="530EB9C9">
      <w:pPr>
        <w:keepNext w:val="0"/>
        <w:keepLines w:val="0"/>
        <w:pageBreakBefore w:val="0"/>
        <w:widowControl/>
        <w:kinsoku/>
        <w:wordWrap/>
        <w:overflowPunct/>
        <w:topLinePunct w:val="0"/>
        <w:autoSpaceDE/>
        <w:autoSpaceDN/>
        <w:bidi w:val="0"/>
        <w:adjustRightInd/>
        <w:snapToGrid/>
        <w:jc w:val="center"/>
        <w:textAlignment w:val="auto"/>
        <w:outlineLvl w:val="1"/>
        <w:rPr>
          <w:rFonts w:hint="eastAsia" w:ascii="宋体" w:hAnsi="宋体" w:eastAsia="宋体" w:cs="宋体"/>
          <w:b/>
          <w:color w:val="auto"/>
          <w:sz w:val="30"/>
          <w:szCs w:val="30"/>
          <w:highlight w:val="none"/>
        </w:rPr>
      </w:pPr>
      <w:r>
        <w:rPr>
          <w:rFonts w:hint="eastAsia" w:ascii="宋体" w:hAnsi="宋体" w:eastAsia="宋体" w:cs="宋体"/>
          <w:color w:val="auto"/>
          <w:sz w:val="24"/>
          <w:szCs w:val="24"/>
          <w:highlight w:val="none"/>
        </w:rPr>
        <w:br w:type="page"/>
      </w:r>
      <w:bookmarkEnd w:id="183"/>
      <w:bookmarkEnd w:id="184"/>
      <w:bookmarkEnd w:id="185"/>
      <w:bookmarkStart w:id="186" w:name="_Toc27706"/>
      <w:bookmarkStart w:id="187" w:name="_Toc15739"/>
      <w:bookmarkStart w:id="188" w:name="_Toc19231"/>
      <w:r>
        <w:rPr>
          <w:rFonts w:hint="eastAsia" w:ascii="宋体" w:hAnsi="宋体" w:eastAsia="宋体" w:cs="宋体"/>
          <w:b/>
          <w:color w:val="auto"/>
          <w:sz w:val="30"/>
          <w:szCs w:val="30"/>
          <w:highlight w:val="none"/>
        </w:rPr>
        <w:t>（</w:t>
      </w:r>
      <w:r>
        <w:rPr>
          <w:rFonts w:hint="eastAsia" w:ascii="宋体" w:hAnsi="宋体" w:cs="宋体"/>
          <w:b/>
          <w:color w:val="auto"/>
          <w:sz w:val="30"/>
          <w:szCs w:val="30"/>
          <w:highlight w:val="none"/>
          <w:lang w:val="en-US" w:eastAsia="zh-CN"/>
        </w:rPr>
        <w:t>八</w:t>
      </w:r>
      <w:r>
        <w:rPr>
          <w:rFonts w:hint="eastAsia" w:ascii="宋体" w:hAnsi="宋体" w:eastAsia="宋体" w:cs="宋体"/>
          <w:b/>
          <w:color w:val="auto"/>
          <w:sz w:val="30"/>
          <w:szCs w:val="30"/>
          <w:highlight w:val="none"/>
        </w:rPr>
        <w:t>）廉政承诺书</w:t>
      </w:r>
      <w:bookmarkEnd w:id="176"/>
      <w:bookmarkEnd w:id="177"/>
      <w:bookmarkEnd w:id="186"/>
      <w:bookmarkEnd w:id="187"/>
      <w:bookmarkEnd w:id="188"/>
    </w:p>
    <w:p w14:paraId="1F2F3F9A">
      <w:pPr>
        <w:widowControl w:val="0"/>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本企业参与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项目的询价响应，现作如下承诺：</w:t>
      </w:r>
    </w:p>
    <w:p w14:paraId="72AFDAAF">
      <w:pPr>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1、所提供的一切材料都是合法、真实、有效的。</w:t>
      </w:r>
    </w:p>
    <w:p w14:paraId="69057E61">
      <w:pPr>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2、不与其他申请人串通投标、围标，依法、依规公平竞争，不损害采购人或其他申请人的合法权益。</w:t>
      </w:r>
    </w:p>
    <w:p w14:paraId="7225D6E9">
      <w:pPr>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3、不转让、出租、出借资质证书、人员岗位证书，不以法律、法规禁止的方式投标。</w:t>
      </w:r>
    </w:p>
    <w:p w14:paraId="57E69100">
      <w:pPr>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4、不与采购人串通投标，不损害国家利益、社会公共利益或其他当事人的合法权益。</w:t>
      </w:r>
    </w:p>
    <w:p w14:paraId="3B17B302">
      <w:pPr>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5、不向采购人、询价小组成员、监督人员行贿。</w:t>
      </w:r>
    </w:p>
    <w:p w14:paraId="7CFAD97A">
      <w:pPr>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6、不扰乱采购人正常工作办公秩序。</w:t>
      </w:r>
    </w:p>
    <w:p w14:paraId="439FD397">
      <w:pPr>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7、不进行虚假恶意投诉。</w:t>
      </w:r>
    </w:p>
    <w:p w14:paraId="191F9886">
      <w:pPr>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8、因违反法律、法规或相关规定被查处的，不干预案件查处。</w:t>
      </w:r>
    </w:p>
    <w:p w14:paraId="70C9ED29">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如出现违法、违规或不良行为，自愿接受监督管理部门、纪检监察部门或司法机关的调查处理。违法、违规或不良行为事实成立的，自愿承担相关责任，给采购人造成损失的，依法承担赔偿责任。</w:t>
      </w:r>
    </w:p>
    <w:p w14:paraId="6DE31C40">
      <w:pPr>
        <w:wordWrap w:val="0"/>
        <w:spacing w:line="520" w:lineRule="exact"/>
        <w:jc w:val="right"/>
        <w:rPr>
          <w:rFonts w:hint="eastAsia" w:ascii="宋体" w:hAnsi="宋体" w:eastAsia="宋体" w:cs="宋体"/>
          <w:color w:val="auto"/>
          <w:sz w:val="24"/>
          <w:szCs w:val="24"/>
          <w:highlight w:val="none"/>
        </w:rPr>
      </w:pPr>
    </w:p>
    <w:p w14:paraId="08F4450F">
      <w:pPr>
        <w:rPr>
          <w:rFonts w:hint="eastAsia" w:ascii="宋体" w:hAnsi="宋体" w:eastAsia="宋体" w:cs="宋体"/>
          <w:color w:val="auto"/>
          <w:highlight w:val="none"/>
        </w:rPr>
      </w:pPr>
    </w:p>
    <w:p w14:paraId="616BEB6E">
      <w:pPr>
        <w:wordWrap w:val="0"/>
        <w:spacing w:line="520" w:lineRule="exact"/>
        <w:jc w:val="righ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申请人（盖公章）：</w:t>
      </w:r>
      <w:r>
        <w:rPr>
          <w:rFonts w:hint="eastAsia" w:ascii="宋体" w:hAnsi="宋体" w:eastAsia="宋体" w:cs="宋体"/>
          <w:color w:val="auto"/>
          <w:sz w:val="24"/>
          <w:szCs w:val="24"/>
          <w:highlight w:val="none"/>
          <w:u w:val="single"/>
        </w:rPr>
        <w:t xml:space="preserve">                                             </w:t>
      </w:r>
    </w:p>
    <w:p w14:paraId="62AD6C39">
      <w:pPr>
        <w:wordWrap w:val="0"/>
        <w:spacing w:line="520" w:lineRule="exact"/>
        <w:jc w:val="right"/>
        <w:rPr>
          <w:rFonts w:hint="eastAsia" w:ascii="宋体" w:hAnsi="宋体" w:eastAsia="宋体" w:cs="宋体"/>
          <w:color w:val="auto"/>
          <w:sz w:val="24"/>
          <w:szCs w:val="24"/>
          <w:highlight w:val="none"/>
        </w:rPr>
      </w:pPr>
    </w:p>
    <w:p w14:paraId="019A1C86">
      <w:pPr>
        <w:wordWrap w:val="0"/>
        <w:spacing w:line="520" w:lineRule="exact"/>
        <w:jc w:val="righ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法定代表人（合伙人）或委托代理人（签字或签章）：</w:t>
      </w:r>
      <w:r>
        <w:rPr>
          <w:rFonts w:hint="eastAsia" w:ascii="宋体" w:hAnsi="宋体" w:eastAsia="宋体" w:cs="宋体"/>
          <w:color w:val="auto"/>
          <w:sz w:val="24"/>
          <w:szCs w:val="24"/>
          <w:highlight w:val="none"/>
          <w:u w:val="single"/>
        </w:rPr>
        <w:t xml:space="preserve">                        </w:t>
      </w:r>
    </w:p>
    <w:p w14:paraId="3521A264">
      <w:pPr>
        <w:wordWrap w:val="0"/>
        <w:spacing w:line="520" w:lineRule="exact"/>
        <w:jc w:val="right"/>
        <w:rPr>
          <w:rFonts w:hint="eastAsia" w:ascii="宋体" w:hAnsi="宋体" w:eastAsia="宋体" w:cs="宋体"/>
          <w:color w:val="auto"/>
          <w:sz w:val="24"/>
          <w:szCs w:val="24"/>
          <w:highlight w:val="none"/>
        </w:rPr>
      </w:pPr>
    </w:p>
    <w:p w14:paraId="20F68EC1">
      <w:pPr>
        <w:wordWrap w:val="0"/>
        <w:spacing w:line="520" w:lineRule="exact"/>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A18EBAD">
      <w:pPr>
        <w:spacing w:line="520" w:lineRule="exact"/>
        <w:rPr>
          <w:rFonts w:hint="eastAsia" w:ascii="宋体" w:hAnsi="宋体" w:eastAsia="宋体" w:cs="宋体"/>
          <w:color w:val="auto"/>
          <w:highlight w:val="none"/>
        </w:rPr>
      </w:pPr>
    </w:p>
    <w:p w14:paraId="1833C073">
      <w:pPr>
        <w:spacing w:line="520" w:lineRule="exact"/>
        <w:rPr>
          <w:rFonts w:hint="eastAsia" w:ascii="宋体" w:hAnsi="宋体" w:eastAsia="宋体" w:cs="宋体"/>
          <w:color w:val="auto"/>
          <w:highlight w:val="none"/>
        </w:rPr>
      </w:pPr>
    </w:p>
    <w:p w14:paraId="41ABB568">
      <w:pPr>
        <w:spacing w:line="520" w:lineRule="exact"/>
        <w:rPr>
          <w:rFonts w:hint="eastAsia" w:ascii="宋体" w:hAnsi="宋体" w:eastAsia="宋体" w:cs="宋体"/>
          <w:color w:val="auto"/>
          <w:highlight w:val="none"/>
        </w:rPr>
      </w:pPr>
    </w:p>
    <w:p w14:paraId="23BAD556">
      <w:pPr>
        <w:pStyle w:val="3"/>
        <w:keepNext w:val="0"/>
        <w:widowControl w:val="0"/>
        <w:spacing w:before="0" w:after="0" w:line="520" w:lineRule="exact"/>
        <w:jc w:val="center"/>
        <w:rPr>
          <w:rFonts w:hint="eastAsia" w:ascii="宋体" w:hAnsi="宋体" w:eastAsia="宋体" w:cs="宋体"/>
          <w:b/>
          <w:bCs w:val="0"/>
          <w:color w:val="auto"/>
          <w:sz w:val="30"/>
          <w:szCs w:val="30"/>
          <w:highlight w:val="none"/>
        </w:rPr>
      </w:pPr>
      <w:bookmarkStart w:id="189" w:name="_Toc28696"/>
      <w:bookmarkStart w:id="190" w:name="_Toc432792980"/>
      <w:bookmarkStart w:id="191" w:name="_Toc29459"/>
      <w:bookmarkStart w:id="192" w:name="_Toc24194"/>
      <w:r>
        <w:rPr>
          <w:rFonts w:hint="eastAsia" w:ascii="宋体" w:hAnsi="宋体" w:eastAsia="宋体" w:cs="宋体"/>
          <w:b w:val="0"/>
          <w:color w:val="auto"/>
          <w:sz w:val="30"/>
          <w:szCs w:val="30"/>
          <w:highlight w:val="none"/>
        </w:rPr>
        <w:br w:type="page"/>
      </w:r>
      <w:bookmarkStart w:id="193" w:name="_Toc28873"/>
      <w:r>
        <w:rPr>
          <w:rFonts w:hint="eastAsia" w:ascii="宋体" w:hAnsi="宋体" w:eastAsia="宋体" w:cs="宋体"/>
          <w:b/>
          <w:bCs w:val="0"/>
          <w:color w:val="auto"/>
          <w:sz w:val="30"/>
          <w:szCs w:val="30"/>
          <w:highlight w:val="none"/>
        </w:rPr>
        <w:t>（</w:t>
      </w:r>
      <w:r>
        <w:rPr>
          <w:rFonts w:hint="eastAsia" w:ascii="宋体" w:hAnsi="宋体" w:eastAsia="宋体" w:cs="宋体"/>
          <w:b/>
          <w:bCs w:val="0"/>
          <w:color w:val="auto"/>
          <w:sz w:val="30"/>
          <w:szCs w:val="30"/>
          <w:highlight w:val="none"/>
          <w:lang w:val="en-US" w:eastAsia="zh-CN"/>
        </w:rPr>
        <w:t>九</w:t>
      </w:r>
      <w:r>
        <w:rPr>
          <w:rFonts w:hint="eastAsia" w:ascii="宋体" w:hAnsi="宋体" w:eastAsia="宋体" w:cs="宋体"/>
          <w:b/>
          <w:bCs w:val="0"/>
          <w:color w:val="auto"/>
          <w:sz w:val="30"/>
          <w:szCs w:val="30"/>
          <w:highlight w:val="none"/>
        </w:rPr>
        <w:t>）法定代表人（合伙人）身份证明</w:t>
      </w:r>
      <w:bookmarkEnd w:id="189"/>
      <w:bookmarkEnd w:id="190"/>
      <w:bookmarkEnd w:id="191"/>
      <w:bookmarkEnd w:id="192"/>
      <w:bookmarkEnd w:id="193"/>
    </w:p>
    <w:p w14:paraId="2655CC73">
      <w:pPr>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r>
        <w:rPr>
          <w:rFonts w:hint="eastAsia" w:ascii="宋体" w:hAnsi="宋体" w:eastAsia="宋体" w:cs="宋体"/>
          <w:color w:val="auto"/>
          <w:sz w:val="24"/>
          <w:szCs w:val="24"/>
          <w:highlight w:val="none"/>
          <w:u w:val="single"/>
        </w:rPr>
        <w:t xml:space="preserve">                                                       </w:t>
      </w:r>
    </w:p>
    <w:p w14:paraId="0B2394AA">
      <w:pPr>
        <w:spacing w:line="520" w:lineRule="exac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单位性质：</w:t>
      </w:r>
      <w:r>
        <w:rPr>
          <w:rFonts w:hint="eastAsia" w:ascii="宋体" w:hAnsi="宋体" w:eastAsia="宋体" w:cs="宋体"/>
          <w:color w:val="auto"/>
          <w:sz w:val="24"/>
          <w:szCs w:val="24"/>
          <w:highlight w:val="none"/>
          <w:u w:val="single"/>
        </w:rPr>
        <w:t xml:space="preserve">                                                       </w:t>
      </w:r>
    </w:p>
    <w:p w14:paraId="0DFE0038">
      <w:pPr>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                                                       </w:t>
      </w:r>
    </w:p>
    <w:p w14:paraId="27CC3E11">
      <w:pPr>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29B3272A">
      <w:pPr>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经营期限：</w:t>
      </w:r>
      <w:r>
        <w:rPr>
          <w:rFonts w:hint="eastAsia" w:ascii="宋体" w:hAnsi="宋体" w:eastAsia="宋体" w:cs="宋体"/>
          <w:color w:val="auto"/>
          <w:sz w:val="24"/>
          <w:szCs w:val="24"/>
          <w:highlight w:val="none"/>
          <w:u w:val="single"/>
        </w:rPr>
        <w:t xml:space="preserve">                                                       </w:t>
      </w:r>
    </w:p>
    <w:p w14:paraId="2726EDC9">
      <w:pPr>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性    别：</w:t>
      </w:r>
      <w:r>
        <w:rPr>
          <w:rFonts w:hint="eastAsia" w:ascii="宋体" w:hAnsi="宋体" w:eastAsia="宋体" w:cs="宋体"/>
          <w:color w:val="auto"/>
          <w:sz w:val="24"/>
          <w:szCs w:val="24"/>
          <w:highlight w:val="none"/>
          <w:u w:val="single"/>
        </w:rPr>
        <w:t xml:space="preserve">               </w:t>
      </w:r>
    </w:p>
    <w:p w14:paraId="1451603A">
      <w:pPr>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    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职    务：</w:t>
      </w:r>
      <w:r>
        <w:rPr>
          <w:rFonts w:hint="eastAsia" w:ascii="宋体" w:hAnsi="宋体" w:eastAsia="宋体" w:cs="宋体"/>
          <w:color w:val="auto"/>
          <w:sz w:val="24"/>
          <w:szCs w:val="24"/>
          <w:highlight w:val="none"/>
          <w:u w:val="single"/>
        </w:rPr>
        <w:t xml:space="preserve">               </w:t>
      </w:r>
    </w:p>
    <w:p w14:paraId="45100A70">
      <w:pPr>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（单位名称）的法定代表人（合伙人）。</w:t>
      </w:r>
    </w:p>
    <w:p w14:paraId="18F2DEE9">
      <w:pPr>
        <w:spacing w:line="5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特此证明。</w:t>
      </w:r>
    </w:p>
    <w:p w14:paraId="35A8194B">
      <w:pPr>
        <w:spacing w:line="520" w:lineRule="exact"/>
        <w:rPr>
          <w:rFonts w:hint="eastAsia" w:ascii="宋体" w:hAnsi="宋体" w:eastAsia="宋体" w:cs="宋体"/>
          <w:color w:val="auto"/>
          <w:sz w:val="24"/>
          <w:szCs w:val="24"/>
          <w:highlight w:val="none"/>
        </w:rPr>
      </w:pPr>
    </w:p>
    <w:p w14:paraId="3CE16E10">
      <w:pPr>
        <w:spacing w:line="520" w:lineRule="exact"/>
        <w:rPr>
          <w:rFonts w:hint="eastAsia" w:ascii="宋体" w:hAnsi="宋体" w:eastAsia="宋体" w:cs="宋体"/>
          <w:color w:val="auto"/>
          <w:sz w:val="24"/>
          <w:szCs w:val="24"/>
          <w:highlight w:val="none"/>
        </w:rPr>
      </w:pPr>
    </w:p>
    <w:p w14:paraId="340DA177">
      <w:pPr>
        <w:spacing w:line="520" w:lineRule="exact"/>
        <w:rPr>
          <w:rFonts w:hint="eastAsia" w:ascii="宋体" w:hAnsi="宋体" w:eastAsia="宋体" w:cs="宋体"/>
          <w:color w:val="auto"/>
          <w:sz w:val="24"/>
          <w:szCs w:val="24"/>
          <w:highlight w:val="none"/>
        </w:rPr>
      </w:pPr>
    </w:p>
    <w:p w14:paraId="082FEEDE">
      <w:pPr>
        <w:spacing w:line="520" w:lineRule="exact"/>
        <w:rPr>
          <w:rFonts w:hint="eastAsia" w:ascii="宋体" w:hAnsi="宋体" w:eastAsia="宋体" w:cs="宋体"/>
          <w:color w:val="auto"/>
          <w:sz w:val="24"/>
          <w:szCs w:val="24"/>
          <w:highlight w:val="none"/>
        </w:rPr>
      </w:pPr>
    </w:p>
    <w:p w14:paraId="3A7AD8F2">
      <w:pPr>
        <w:spacing w:line="520" w:lineRule="exact"/>
        <w:rPr>
          <w:rFonts w:hint="eastAsia" w:ascii="宋体" w:hAnsi="宋体" w:eastAsia="宋体" w:cs="宋体"/>
          <w:color w:val="auto"/>
          <w:sz w:val="24"/>
          <w:szCs w:val="24"/>
          <w:highlight w:val="none"/>
        </w:rPr>
      </w:pPr>
    </w:p>
    <w:p w14:paraId="2CD3952A">
      <w:pPr>
        <w:spacing w:line="520" w:lineRule="exact"/>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申请人：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（盖章）</w:t>
      </w:r>
    </w:p>
    <w:p w14:paraId="135DAF5C">
      <w:pPr>
        <w:spacing w:line="520" w:lineRule="exact"/>
        <w:jc w:val="right"/>
        <w:rPr>
          <w:rFonts w:hint="eastAsia" w:ascii="宋体" w:hAnsi="宋体" w:eastAsia="宋体" w:cs="宋体"/>
          <w:color w:val="auto"/>
          <w:sz w:val="24"/>
          <w:szCs w:val="24"/>
          <w:highlight w:val="none"/>
        </w:rPr>
      </w:pPr>
    </w:p>
    <w:p w14:paraId="611E0764">
      <w:pPr>
        <w:wordWrap w:val="0"/>
        <w:spacing w:line="520" w:lineRule="exact"/>
        <w:jc w:val="right"/>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日      </w:t>
      </w:r>
    </w:p>
    <w:p w14:paraId="4CF03061">
      <w:pPr>
        <w:spacing w:line="520" w:lineRule="exact"/>
        <w:jc w:val="right"/>
        <w:rPr>
          <w:rFonts w:hint="eastAsia" w:ascii="宋体" w:hAnsi="宋体" w:eastAsia="宋体" w:cs="宋体"/>
          <w:color w:val="auto"/>
          <w:sz w:val="21"/>
          <w:szCs w:val="21"/>
          <w:highlight w:val="none"/>
        </w:rPr>
      </w:pPr>
    </w:p>
    <w:p w14:paraId="681F2E3F">
      <w:pPr>
        <w:spacing w:line="520" w:lineRule="exact"/>
        <w:jc w:val="right"/>
        <w:rPr>
          <w:rFonts w:hint="eastAsia" w:ascii="宋体" w:hAnsi="宋体" w:eastAsia="宋体" w:cs="宋体"/>
          <w:color w:val="auto"/>
          <w:sz w:val="21"/>
          <w:szCs w:val="21"/>
          <w:highlight w:val="none"/>
        </w:rPr>
      </w:pPr>
    </w:p>
    <w:p w14:paraId="1BC31320">
      <w:pPr>
        <w:spacing w:line="52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注：附法定代表人（合伙人）身份证复印件。</w:t>
      </w:r>
    </w:p>
    <w:p w14:paraId="17F31FEB">
      <w:pPr>
        <w:pStyle w:val="3"/>
        <w:keepNext w:val="0"/>
        <w:widowControl w:val="0"/>
        <w:spacing w:before="0" w:after="0" w:line="520" w:lineRule="exact"/>
        <w:jc w:val="center"/>
        <w:rPr>
          <w:rFonts w:hint="eastAsia" w:ascii="宋体" w:hAnsi="宋体" w:eastAsia="宋体" w:cs="宋体"/>
          <w:b/>
          <w:bCs w:val="0"/>
          <w:color w:val="auto"/>
          <w:sz w:val="30"/>
          <w:szCs w:val="30"/>
          <w:highlight w:val="none"/>
        </w:rPr>
      </w:pPr>
      <w:bookmarkStart w:id="194" w:name="_Toc432792981"/>
      <w:bookmarkStart w:id="195" w:name="_Toc16113"/>
      <w:bookmarkStart w:id="196" w:name="_Toc19788"/>
      <w:bookmarkStart w:id="197" w:name="_Toc30416"/>
      <w:r>
        <w:rPr>
          <w:rFonts w:hint="eastAsia" w:ascii="宋体" w:hAnsi="宋体" w:eastAsia="宋体" w:cs="宋体"/>
          <w:b w:val="0"/>
          <w:color w:val="auto"/>
          <w:sz w:val="30"/>
          <w:szCs w:val="30"/>
          <w:highlight w:val="none"/>
        </w:rPr>
        <w:br w:type="page"/>
      </w:r>
      <w:bookmarkStart w:id="198" w:name="_Toc20510"/>
      <w:r>
        <w:rPr>
          <w:rFonts w:hint="eastAsia" w:ascii="宋体" w:hAnsi="宋体" w:eastAsia="宋体" w:cs="宋体"/>
          <w:b/>
          <w:bCs w:val="0"/>
          <w:color w:val="auto"/>
          <w:sz w:val="30"/>
          <w:szCs w:val="30"/>
          <w:highlight w:val="none"/>
        </w:rPr>
        <w:t>（</w:t>
      </w:r>
      <w:r>
        <w:rPr>
          <w:rFonts w:hint="eastAsia" w:ascii="宋体" w:hAnsi="宋体" w:eastAsia="宋体" w:cs="宋体"/>
          <w:b/>
          <w:bCs w:val="0"/>
          <w:color w:val="auto"/>
          <w:sz w:val="30"/>
          <w:szCs w:val="30"/>
          <w:highlight w:val="none"/>
          <w:lang w:val="en-US" w:eastAsia="zh-CN"/>
        </w:rPr>
        <w:t>十</w:t>
      </w:r>
      <w:r>
        <w:rPr>
          <w:rFonts w:hint="eastAsia" w:ascii="宋体" w:hAnsi="宋体" w:eastAsia="宋体" w:cs="宋体"/>
          <w:b/>
          <w:bCs w:val="0"/>
          <w:color w:val="auto"/>
          <w:sz w:val="30"/>
          <w:szCs w:val="30"/>
          <w:highlight w:val="none"/>
        </w:rPr>
        <w:t>）授权委托书</w:t>
      </w:r>
      <w:bookmarkEnd w:id="194"/>
      <w:bookmarkEnd w:id="195"/>
      <w:bookmarkEnd w:id="196"/>
      <w:bookmarkEnd w:id="197"/>
      <w:bookmarkEnd w:id="198"/>
    </w:p>
    <w:p w14:paraId="3D35A5E6">
      <w:pPr>
        <w:widowControl w:val="0"/>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（单位名称）的法定代表人（合伙人），现委托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（姓名）为我方代理人。代理人根据授权，以我方名义签署、澄清、说明、补正、递交、撤回、修改</w:t>
      </w:r>
      <w:r>
        <w:rPr>
          <w:rFonts w:hint="eastAsia" w:ascii="宋体" w:hAnsi="宋体" w:eastAsia="宋体" w:cs="宋体"/>
          <w:color w:val="auto"/>
          <w:sz w:val="24"/>
          <w:szCs w:val="24"/>
          <w:highlight w:val="none"/>
          <w:u w:val="single"/>
        </w:rPr>
        <w:t xml:space="preserve">    （项目名称）      </w:t>
      </w:r>
      <w:r>
        <w:rPr>
          <w:rFonts w:hint="eastAsia" w:ascii="宋体" w:hAnsi="宋体" w:eastAsia="宋体" w:cs="宋体"/>
          <w:color w:val="auto"/>
          <w:sz w:val="24"/>
          <w:szCs w:val="24"/>
          <w:highlight w:val="none"/>
        </w:rPr>
        <w:t>的询价响应文件，处理有关事宜，其法律后果由我方承担。</w:t>
      </w:r>
    </w:p>
    <w:p w14:paraId="121F035D">
      <w:pPr>
        <w:spacing w:line="520" w:lineRule="exact"/>
        <w:ind w:firstLine="480" w:firstLineChars="200"/>
        <w:rPr>
          <w:rFonts w:hint="eastAsia" w:ascii="宋体" w:hAnsi="宋体" w:eastAsia="宋体" w:cs="宋体"/>
          <w:color w:val="auto"/>
          <w:sz w:val="24"/>
          <w:szCs w:val="24"/>
          <w:highlight w:val="none"/>
        </w:rPr>
      </w:pPr>
    </w:p>
    <w:p w14:paraId="08C0C8B8">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代理人无转委托权。</w:t>
      </w:r>
    </w:p>
    <w:p w14:paraId="10DD2445">
      <w:pPr>
        <w:spacing w:line="520" w:lineRule="exact"/>
        <w:rPr>
          <w:rFonts w:hint="eastAsia" w:ascii="宋体" w:hAnsi="宋体" w:eastAsia="宋体" w:cs="宋体"/>
          <w:color w:val="auto"/>
          <w:sz w:val="24"/>
          <w:szCs w:val="24"/>
          <w:highlight w:val="none"/>
        </w:rPr>
      </w:pPr>
    </w:p>
    <w:p w14:paraId="0DD7409C">
      <w:pPr>
        <w:wordWrap w:val="0"/>
        <w:spacing w:line="520" w:lineRule="exact"/>
        <w:ind w:firstLine="480" w:firstLineChars="20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申请人：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（盖章）</w:t>
      </w:r>
    </w:p>
    <w:p w14:paraId="75DABF81">
      <w:pPr>
        <w:wordWrap w:val="0"/>
        <w:spacing w:line="520" w:lineRule="exact"/>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bookmarkStart w:id="199" w:name="_Toc29175"/>
      <w:r>
        <w:rPr>
          <w:rFonts w:hint="eastAsia" w:ascii="宋体" w:hAnsi="宋体" w:eastAsia="宋体" w:cs="宋体"/>
          <w:color w:val="auto"/>
          <w:sz w:val="24"/>
          <w:szCs w:val="24"/>
          <w:highlight w:val="none"/>
        </w:rPr>
        <w:t>法定代表人（合伙人）：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（签字）</w:t>
      </w:r>
      <w:bookmarkEnd w:id="199"/>
    </w:p>
    <w:p w14:paraId="19F9368F">
      <w:pPr>
        <w:wordWrap w:val="0"/>
        <w:spacing w:line="520" w:lineRule="exact"/>
        <w:ind w:right="44" w:firstLine="4320" w:firstLineChars="1800"/>
        <w:jc w:val="both"/>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p>
    <w:p w14:paraId="4DDC4572">
      <w:pPr>
        <w:pStyle w:val="39"/>
        <w:spacing w:after="0" w:line="520" w:lineRule="exact"/>
        <w:ind w:left="400" w:firstLine="480"/>
        <w:rPr>
          <w:rFonts w:hint="eastAsia" w:ascii="宋体" w:hAnsi="宋体" w:eastAsia="宋体" w:cs="宋体"/>
          <w:color w:val="auto"/>
          <w:sz w:val="24"/>
          <w:highlight w:val="none"/>
        </w:rPr>
      </w:pPr>
    </w:p>
    <w:p w14:paraId="4C830CCC">
      <w:pPr>
        <w:spacing w:line="520" w:lineRule="exact"/>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委托代理人：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（签字）</w:t>
      </w:r>
    </w:p>
    <w:p w14:paraId="593C60B9">
      <w:pPr>
        <w:tabs>
          <w:tab w:val="left" w:pos="8460"/>
        </w:tabs>
        <w:wordWrap w:val="0"/>
        <w:spacing w:line="520" w:lineRule="exact"/>
        <w:ind w:right="45"/>
        <w:jc w:val="center"/>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w:t>
      </w:r>
      <w:bookmarkStart w:id="200" w:name="_Toc11026"/>
      <w:r>
        <w:rPr>
          <w:rFonts w:hint="eastAsia" w:ascii="宋体" w:hAnsi="宋体" w:eastAsia="宋体" w:cs="宋体"/>
          <w:color w:val="auto"/>
          <w:sz w:val="24"/>
          <w:szCs w:val="24"/>
          <w:highlight w:val="none"/>
        </w:rPr>
        <w:t>身份证号码：</w:t>
      </w:r>
      <w:bookmarkEnd w:id="200"/>
      <w:r>
        <w:rPr>
          <w:rFonts w:hint="eastAsia" w:ascii="宋体" w:hAnsi="宋体" w:eastAsia="宋体" w:cs="宋体"/>
          <w:color w:val="auto"/>
          <w:sz w:val="24"/>
          <w:szCs w:val="24"/>
          <w:highlight w:val="none"/>
          <w:u w:val="single"/>
        </w:rPr>
        <w:t xml:space="preserve">                              </w:t>
      </w:r>
    </w:p>
    <w:p w14:paraId="66E1617A">
      <w:pPr>
        <w:pStyle w:val="39"/>
        <w:spacing w:after="0" w:line="520" w:lineRule="exact"/>
        <w:ind w:left="400" w:firstLine="480"/>
        <w:rPr>
          <w:rFonts w:hint="eastAsia" w:ascii="宋体" w:hAnsi="宋体" w:eastAsia="宋体" w:cs="宋体"/>
          <w:color w:val="auto"/>
          <w:sz w:val="24"/>
          <w:highlight w:val="none"/>
        </w:rPr>
      </w:pPr>
    </w:p>
    <w:p w14:paraId="233B9A80">
      <w:pPr>
        <w:spacing w:line="520" w:lineRule="exact"/>
        <w:ind w:right="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F41C334">
      <w:pPr>
        <w:spacing w:line="520" w:lineRule="exact"/>
        <w:ind w:right="420" w:firstLine="5400" w:firstLineChars="2250"/>
        <w:rPr>
          <w:rFonts w:hint="eastAsia" w:ascii="宋体" w:hAnsi="宋体" w:eastAsia="宋体" w:cs="宋体"/>
          <w:color w:val="auto"/>
          <w:sz w:val="24"/>
          <w:szCs w:val="24"/>
          <w:highlight w:val="none"/>
        </w:rPr>
      </w:pPr>
    </w:p>
    <w:p w14:paraId="18C1FC36">
      <w:pPr>
        <w:spacing w:line="520" w:lineRule="exact"/>
        <w:ind w:right="420" w:firstLine="5400" w:firstLineChars="2250"/>
        <w:rPr>
          <w:rFonts w:hint="eastAsia" w:ascii="宋体" w:hAnsi="宋体" w:eastAsia="宋体" w:cs="宋体"/>
          <w:color w:val="auto"/>
          <w:sz w:val="24"/>
          <w:szCs w:val="24"/>
          <w:highlight w:val="none"/>
        </w:rPr>
      </w:pPr>
    </w:p>
    <w:p w14:paraId="695671A2">
      <w:pPr>
        <w:spacing w:line="360" w:lineRule="auto"/>
        <w:ind w:right="420"/>
        <w:jc w:val="both"/>
        <w:rPr>
          <w:rFonts w:hint="eastAsia" w:ascii="宋体" w:hAnsi="宋体" w:eastAsia="宋体" w:cs="宋体"/>
          <w:b/>
          <w:color w:val="auto"/>
          <w:sz w:val="24"/>
          <w:szCs w:val="24"/>
          <w:highlight w:val="none"/>
        </w:rPr>
      </w:pPr>
      <w:bookmarkStart w:id="201" w:name="_Toc13979"/>
      <w:r>
        <w:rPr>
          <w:rFonts w:hint="eastAsia" w:ascii="宋体" w:hAnsi="宋体" w:eastAsia="宋体" w:cs="宋体"/>
          <w:b/>
          <w:color w:val="auto"/>
          <w:sz w:val="24"/>
          <w:szCs w:val="24"/>
          <w:highlight w:val="none"/>
        </w:rPr>
        <w:t>注：1、附授权委托人身份证复印件；</w:t>
      </w:r>
      <w:bookmarkEnd w:id="201"/>
    </w:p>
    <w:p w14:paraId="765CA1D8">
      <w:pPr>
        <w:spacing w:line="360" w:lineRule="auto"/>
        <w:ind w:right="420" w:firstLine="482" w:firstLineChars="200"/>
        <w:jc w:val="both"/>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2、如申请人由法定代表人（合伙人）亲自签署响应文件并参与相关活动，则不需要办理授权。如有被授权的代理人签署上述文件，则必须按本格式规定填报并提交授权书，否则被授权的代理人将不被认可。</w:t>
      </w:r>
    </w:p>
    <w:p w14:paraId="72075646">
      <w:pPr>
        <w:spacing w:line="360" w:lineRule="auto"/>
        <w:ind w:right="420" w:firstLine="482" w:firstLineChars="200"/>
        <w:jc w:val="both"/>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3、本授权委托书配合法定代表人（合伙人）身份证明书使用方可生效。</w:t>
      </w:r>
    </w:p>
    <w:p w14:paraId="62D5E5E1">
      <w:pPr>
        <w:spacing w:line="520" w:lineRule="exact"/>
        <w:ind w:firstLine="420" w:firstLineChars="200"/>
        <w:rPr>
          <w:rFonts w:hint="eastAsia" w:ascii="宋体" w:hAnsi="宋体" w:eastAsia="宋体" w:cs="宋体"/>
          <w:color w:val="auto"/>
          <w:sz w:val="21"/>
          <w:szCs w:val="21"/>
          <w:highlight w:val="none"/>
        </w:rPr>
      </w:pPr>
    </w:p>
    <w:p w14:paraId="2FD25B93">
      <w:pPr>
        <w:spacing w:line="520" w:lineRule="exact"/>
        <w:rPr>
          <w:rFonts w:hint="eastAsia" w:ascii="宋体" w:hAnsi="宋体" w:eastAsia="宋体" w:cs="宋体"/>
          <w:color w:val="auto"/>
          <w:sz w:val="21"/>
          <w:szCs w:val="21"/>
          <w:highlight w:val="none"/>
        </w:rPr>
      </w:pPr>
    </w:p>
    <w:p w14:paraId="4692EA9F">
      <w:pPr>
        <w:rPr>
          <w:rFonts w:hint="eastAsia" w:ascii="宋体" w:hAnsi="宋体" w:eastAsia="宋体" w:cs="宋体"/>
          <w:b/>
          <w:bCs w:val="0"/>
          <w:color w:val="auto"/>
          <w:sz w:val="30"/>
          <w:szCs w:val="30"/>
          <w:highlight w:val="none"/>
          <w:lang w:val="en-US" w:eastAsia="zh-CN" w:bidi="ar-SA"/>
        </w:rPr>
      </w:pPr>
      <w:bookmarkStart w:id="202" w:name="_Toc17387"/>
      <w:bookmarkStart w:id="203" w:name="_Toc432792983"/>
      <w:bookmarkStart w:id="204" w:name="_Toc24729"/>
      <w:bookmarkStart w:id="205" w:name="_Toc10983"/>
      <w:r>
        <w:rPr>
          <w:rFonts w:hint="eastAsia" w:ascii="宋体" w:hAnsi="宋体" w:eastAsia="宋体" w:cs="宋体"/>
          <w:b/>
          <w:bCs w:val="0"/>
          <w:color w:val="auto"/>
          <w:sz w:val="30"/>
          <w:szCs w:val="30"/>
          <w:highlight w:val="none"/>
          <w:lang w:val="en-US" w:eastAsia="zh-CN" w:bidi="ar-SA"/>
        </w:rPr>
        <w:br w:type="page"/>
      </w:r>
    </w:p>
    <w:p w14:paraId="1926F432">
      <w:pPr>
        <w:pStyle w:val="3"/>
        <w:keepNext w:val="0"/>
        <w:widowControl w:val="0"/>
        <w:spacing w:before="0" w:after="0" w:line="520" w:lineRule="exact"/>
        <w:jc w:val="center"/>
        <w:rPr>
          <w:rFonts w:hint="eastAsia" w:ascii="宋体" w:hAnsi="宋体" w:eastAsia="宋体" w:cs="宋体"/>
          <w:b/>
          <w:bCs w:val="0"/>
          <w:color w:val="auto"/>
          <w:sz w:val="30"/>
          <w:szCs w:val="30"/>
          <w:highlight w:val="none"/>
          <w:lang w:val="en-US" w:eastAsia="zh-CN"/>
        </w:rPr>
      </w:pPr>
      <w:r>
        <w:rPr>
          <w:rFonts w:hint="eastAsia" w:ascii="宋体" w:hAnsi="宋体" w:eastAsia="宋体" w:cs="宋体"/>
          <w:b/>
          <w:bCs w:val="0"/>
          <w:color w:val="auto"/>
          <w:sz w:val="30"/>
          <w:szCs w:val="30"/>
          <w:highlight w:val="none"/>
          <w:lang w:val="en-US" w:eastAsia="zh-CN"/>
        </w:rPr>
        <w:t>（十一）</w:t>
      </w:r>
      <w:bookmarkStart w:id="206" w:name="_Toc13327"/>
      <w:r>
        <w:rPr>
          <w:rFonts w:hint="eastAsia" w:ascii="宋体" w:hAnsi="宋体" w:eastAsia="宋体" w:cs="宋体"/>
          <w:b/>
          <w:bCs w:val="0"/>
          <w:color w:val="auto"/>
          <w:sz w:val="30"/>
          <w:szCs w:val="30"/>
          <w:highlight w:val="none"/>
          <w:lang w:val="en-US" w:eastAsia="zh-CN"/>
        </w:rPr>
        <w:t>报价一览表</w:t>
      </w:r>
      <w:bookmarkEnd w:id="202"/>
      <w:bookmarkEnd w:id="203"/>
      <w:bookmarkEnd w:id="204"/>
      <w:bookmarkEnd w:id="205"/>
      <w:bookmarkEnd w:id="206"/>
    </w:p>
    <w:p w14:paraId="24C8BB0B">
      <w:pPr>
        <w:numPr>
          <w:ilvl w:val="0"/>
          <w:numId w:val="0"/>
        </w:numPr>
        <w:rPr>
          <w:rFonts w:hint="default" w:eastAsia="宋体"/>
          <w:color w:val="auto"/>
          <w:highlight w:val="none"/>
          <w:lang w:val="en-US" w:eastAsia="zh-CN"/>
        </w:rPr>
      </w:pPr>
      <w:r>
        <w:rPr>
          <w:rFonts w:hint="eastAsia"/>
          <w:color w:val="auto"/>
          <w:sz w:val="28"/>
          <w:szCs w:val="28"/>
          <w:highlight w:val="none"/>
          <w:lang w:val="en-US" w:eastAsia="zh-CN"/>
        </w:rPr>
        <w:t>附11.1：</w:t>
      </w:r>
    </w:p>
    <w:p w14:paraId="32A68D45">
      <w:pPr>
        <w:rPr>
          <w:rFonts w:hint="eastAsia" w:ascii="宋体" w:hAnsi="宋体" w:eastAsia="宋体" w:cs="宋体"/>
          <w:color w:val="auto"/>
          <w:highlight w:val="none"/>
        </w:rPr>
      </w:pPr>
    </w:p>
    <w:tbl>
      <w:tblPr>
        <w:tblStyle w:val="25"/>
        <w:tblW w:w="8792" w:type="dxa"/>
        <w:jc w:val="center"/>
        <w:tblLayout w:type="fixed"/>
        <w:tblCellMar>
          <w:top w:w="0" w:type="dxa"/>
          <w:left w:w="108" w:type="dxa"/>
          <w:bottom w:w="0" w:type="dxa"/>
          <w:right w:w="108" w:type="dxa"/>
        </w:tblCellMar>
      </w:tblPr>
      <w:tblGrid>
        <w:gridCol w:w="1206"/>
        <w:gridCol w:w="2201"/>
        <w:gridCol w:w="3647"/>
        <w:gridCol w:w="1738"/>
      </w:tblGrid>
      <w:tr w14:paraId="733307AD">
        <w:tblPrEx>
          <w:tblCellMar>
            <w:top w:w="0" w:type="dxa"/>
            <w:left w:w="108" w:type="dxa"/>
            <w:bottom w:w="0" w:type="dxa"/>
            <w:right w:w="108" w:type="dxa"/>
          </w:tblCellMar>
        </w:tblPrEx>
        <w:trPr>
          <w:trHeight w:val="617" w:hRule="atLeast"/>
          <w:jc w:val="center"/>
        </w:trPr>
        <w:tc>
          <w:tcPr>
            <w:tcW w:w="8792" w:type="dxa"/>
            <w:gridSpan w:val="4"/>
            <w:tcBorders>
              <w:top w:val="single" w:color="auto" w:sz="4" w:space="0"/>
              <w:left w:val="single" w:color="auto" w:sz="4" w:space="0"/>
              <w:bottom w:val="single" w:color="auto" w:sz="4" w:space="0"/>
              <w:right w:val="single" w:color="auto" w:sz="4" w:space="0"/>
            </w:tcBorders>
            <w:noWrap w:val="0"/>
            <w:vAlign w:val="center"/>
          </w:tcPr>
          <w:p w14:paraId="0BAE9DE8">
            <w:pPr>
              <w:spacing w:line="520" w:lineRule="exac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项目</w:t>
            </w:r>
          </w:p>
        </w:tc>
      </w:tr>
      <w:tr w14:paraId="37A57B4A">
        <w:tblPrEx>
          <w:tblCellMar>
            <w:top w:w="0" w:type="dxa"/>
            <w:left w:w="108" w:type="dxa"/>
            <w:bottom w:w="0" w:type="dxa"/>
            <w:right w:w="108" w:type="dxa"/>
          </w:tblCellMar>
        </w:tblPrEx>
        <w:trPr>
          <w:trHeight w:val="842" w:hRule="atLeast"/>
          <w:jc w:val="center"/>
        </w:trPr>
        <w:tc>
          <w:tcPr>
            <w:tcW w:w="1206" w:type="dxa"/>
            <w:tcBorders>
              <w:top w:val="single" w:color="auto" w:sz="4" w:space="0"/>
              <w:left w:val="single" w:color="auto" w:sz="4" w:space="0"/>
              <w:bottom w:val="single" w:color="auto" w:sz="4" w:space="0"/>
              <w:right w:val="single" w:color="auto" w:sz="4" w:space="0"/>
            </w:tcBorders>
            <w:noWrap w:val="0"/>
            <w:vAlign w:val="center"/>
          </w:tcPr>
          <w:p w14:paraId="493BA003">
            <w:pPr>
              <w:spacing w:line="52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201" w:type="dxa"/>
            <w:tcBorders>
              <w:top w:val="single" w:color="auto" w:sz="4" w:space="0"/>
              <w:left w:val="single" w:color="auto" w:sz="4" w:space="0"/>
              <w:bottom w:val="single" w:color="auto" w:sz="4" w:space="0"/>
              <w:right w:val="single" w:color="auto" w:sz="4" w:space="0"/>
            </w:tcBorders>
            <w:noWrap w:val="0"/>
            <w:vAlign w:val="center"/>
          </w:tcPr>
          <w:p w14:paraId="157D6FB2">
            <w:pPr>
              <w:spacing w:line="52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内容</w:t>
            </w:r>
          </w:p>
        </w:tc>
        <w:tc>
          <w:tcPr>
            <w:tcW w:w="3647" w:type="dxa"/>
            <w:tcBorders>
              <w:top w:val="single" w:color="auto" w:sz="4" w:space="0"/>
              <w:left w:val="single" w:color="auto" w:sz="4" w:space="0"/>
              <w:bottom w:val="single" w:color="auto" w:sz="4" w:space="0"/>
              <w:right w:val="single" w:color="auto" w:sz="4" w:space="0"/>
            </w:tcBorders>
            <w:noWrap w:val="0"/>
            <w:vAlign w:val="center"/>
          </w:tcPr>
          <w:p w14:paraId="17854725">
            <w:pPr>
              <w:spacing w:line="520" w:lineRule="exact"/>
              <w:jc w:val="center"/>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报价金额（元）</w:t>
            </w:r>
          </w:p>
        </w:tc>
        <w:tc>
          <w:tcPr>
            <w:tcW w:w="1738" w:type="dxa"/>
            <w:tcBorders>
              <w:top w:val="single" w:color="auto" w:sz="4" w:space="0"/>
              <w:left w:val="single" w:color="auto" w:sz="4" w:space="0"/>
              <w:bottom w:val="single" w:color="auto" w:sz="4" w:space="0"/>
              <w:right w:val="single" w:color="auto" w:sz="4" w:space="0"/>
            </w:tcBorders>
            <w:noWrap w:val="0"/>
            <w:vAlign w:val="center"/>
          </w:tcPr>
          <w:p w14:paraId="602BC125">
            <w:pPr>
              <w:spacing w:line="52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r>
      <w:tr w14:paraId="01D822F0">
        <w:tblPrEx>
          <w:tblCellMar>
            <w:top w:w="0" w:type="dxa"/>
            <w:left w:w="108" w:type="dxa"/>
            <w:bottom w:w="0" w:type="dxa"/>
            <w:right w:w="108" w:type="dxa"/>
          </w:tblCellMar>
        </w:tblPrEx>
        <w:trPr>
          <w:trHeight w:val="842" w:hRule="atLeast"/>
          <w:jc w:val="center"/>
        </w:trPr>
        <w:tc>
          <w:tcPr>
            <w:tcW w:w="1206" w:type="dxa"/>
            <w:tcBorders>
              <w:top w:val="single" w:color="auto" w:sz="4" w:space="0"/>
              <w:left w:val="single" w:color="auto" w:sz="4" w:space="0"/>
              <w:bottom w:val="single" w:color="auto" w:sz="4" w:space="0"/>
              <w:right w:val="single" w:color="auto" w:sz="4" w:space="0"/>
            </w:tcBorders>
            <w:noWrap w:val="0"/>
            <w:vAlign w:val="center"/>
          </w:tcPr>
          <w:p w14:paraId="6D512039">
            <w:pPr>
              <w:spacing w:line="5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201" w:type="dxa"/>
            <w:tcBorders>
              <w:top w:val="single" w:color="auto" w:sz="4" w:space="0"/>
              <w:left w:val="single" w:color="auto" w:sz="4" w:space="0"/>
              <w:bottom w:val="single" w:color="auto" w:sz="4" w:space="0"/>
              <w:right w:val="single" w:color="auto" w:sz="4" w:space="0"/>
            </w:tcBorders>
            <w:noWrap w:val="0"/>
            <w:vAlign w:val="center"/>
          </w:tcPr>
          <w:p w14:paraId="45CFAC9D">
            <w:pPr>
              <w:spacing w:line="5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w:t>
            </w:r>
          </w:p>
        </w:tc>
        <w:tc>
          <w:tcPr>
            <w:tcW w:w="3647" w:type="dxa"/>
            <w:tcBorders>
              <w:top w:val="single" w:color="auto" w:sz="4" w:space="0"/>
              <w:left w:val="single" w:color="auto" w:sz="4" w:space="0"/>
              <w:bottom w:val="single" w:color="auto" w:sz="4" w:space="0"/>
              <w:right w:val="single" w:color="auto" w:sz="4" w:space="0"/>
            </w:tcBorders>
            <w:noWrap w:val="0"/>
            <w:vAlign w:val="center"/>
          </w:tcPr>
          <w:p w14:paraId="6530BE9A">
            <w:pPr>
              <w:spacing w:line="520" w:lineRule="exact"/>
              <w:jc w:val="center"/>
              <w:rPr>
                <w:rFonts w:hint="eastAsia" w:ascii="宋体" w:hAnsi="宋体" w:eastAsia="宋体" w:cs="宋体"/>
                <w:color w:val="auto"/>
                <w:sz w:val="24"/>
                <w:szCs w:val="24"/>
                <w:highlight w:val="none"/>
              </w:rPr>
            </w:pPr>
          </w:p>
        </w:tc>
        <w:tc>
          <w:tcPr>
            <w:tcW w:w="1738" w:type="dxa"/>
            <w:tcBorders>
              <w:top w:val="single" w:color="auto" w:sz="4" w:space="0"/>
              <w:left w:val="single" w:color="auto" w:sz="4" w:space="0"/>
              <w:bottom w:val="single" w:color="auto" w:sz="4" w:space="0"/>
              <w:right w:val="single" w:color="auto" w:sz="4" w:space="0"/>
            </w:tcBorders>
            <w:noWrap w:val="0"/>
            <w:vAlign w:val="center"/>
          </w:tcPr>
          <w:p w14:paraId="50D864CF">
            <w:pPr>
              <w:spacing w:line="520" w:lineRule="exact"/>
              <w:jc w:val="center"/>
              <w:rPr>
                <w:rFonts w:hint="eastAsia" w:ascii="宋体" w:hAnsi="宋体" w:eastAsia="宋体" w:cs="宋体"/>
                <w:color w:val="auto"/>
                <w:sz w:val="24"/>
                <w:szCs w:val="24"/>
                <w:highlight w:val="none"/>
              </w:rPr>
            </w:pPr>
          </w:p>
        </w:tc>
      </w:tr>
      <w:tr w14:paraId="44556CBB">
        <w:tblPrEx>
          <w:tblCellMar>
            <w:top w:w="0" w:type="dxa"/>
            <w:left w:w="108" w:type="dxa"/>
            <w:bottom w:w="0" w:type="dxa"/>
            <w:right w:w="108" w:type="dxa"/>
          </w:tblCellMar>
        </w:tblPrEx>
        <w:trPr>
          <w:trHeight w:val="842" w:hRule="atLeast"/>
          <w:jc w:val="center"/>
        </w:trPr>
        <w:tc>
          <w:tcPr>
            <w:tcW w:w="1206" w:type="dxa"/>
            <w:tcBorders>
              <w:top w:val="single" w:color="auto" w:sz="4" w:space="0"/>
              <w:left w:val="single" w:color="auto" w:sz="4" w:space="0"/>
              <w:bottom w:val="single" w:color="auto" w:sz="4" w:space="0"/>
              <w:right w:val="single" w:color="auto" w:sz="4" w:space="0"/>
            </w:tcBorders>
            <w:noWrap w:val="0"/>
            <w:vAlign w:val="center"/>
          </w:tcPr>
          <w:p w14:paraId="3D2DD72B">
            <w:pPr>
              <w:spacing w:line="5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201" w:type="dxa"/>
            <w:tcBorders>
              <w:top w:val="single" w:color="auto" w:sz="4" w:space="0"/>
              <w:left w:val="single" w:color="auto" w:sz="4" w:space="0"/>
              <w:bottom w:val="single" w:color="auto" w:sz="4" w:space="0"/>
              <w:right w:val="single" w:color="auto" w:sz="4" w:space="0"/>
            </w:tcBorders>
            <w:noWrap w:val="0"/>
            <w:vAlign w:val="center"/>
          </w:tcPr>
          <w:p w14:paraId="5B8B5254">
            <w:pPr>
              <w:spacing w:line="520" w:lineRule="exact"/>
              <w:jc w:val="center"/>
              <w:rPr>
                <w:rFonts w:hint="eastAsia" w:ascii="宋体" w:hAnsi="宋体" w:eastAsia="宋体" w:cs="宋体"/>
                <w:color w:val="auto"/>
                <w:sz w:val="24"/>
                <w:szCs w:val="24"/>
                <w:highlight w:val="none"/>
                <w:lang w:eastAsia="zh-CN"/>
              </w:rPr>
            </w:pPr>
            <w:r>
              <w:rPr>
                <w:rFonts w:hint="eastAsia" w:ascii="宋体" w:hAnsi="宋体" w:cs="宋体"/>
                <w:color w:val="auto"/>
                <w:position w:val="-6"/>
                <w:sz w:val="24"/>
                <w:szCs w:val="24"/>
                <w:highlight w:val="none"/>
                <w:lang w:eastAsia="zh-CN"/>
              </w:rPr>
              <w:t>服务周期</w:t>
            </w:r>
          </w:p>
        </w:tc>
        <w:tc>
          <w:tcPr>
            <w:tcW w:w="3647" w:type="dxa"/>
            <w:tcBorders>
              <w:top w:val="single" w:color="auto" w:sz="4" w:space="0"/>
              <w:left w:val="single" w:color="auto" w:sz="4" w:space="0"/>
              <w:bottom w:val="single" w:color="auto" w:sz="4" w:space="0"/>
              <w:right w:val="single" w:color="auto" w:sz="4" w:space="0"/>
            </w:tcBorders>
            <w:noWrap w:val="0"/>
            <w:vAlign w:val="center"/>
          </w:tcPr>
          <w:p w14:paraId="47A325C4">
            <w:pPr>
              <w:spacing w:line="520" w:lineRule="exact"/>
              <w:jc w:val="center"/>
              <w:rPr>
                <w:rFonts w:hint="eastAsia" w:ascii="宋体" w:hAnsi="宋体" w:eastAsia="宋体" w:cs="宋体"/>
                <w:color w:val="auto"/>
                <w:sz w:val="24"/>
                <w:szCs w:val="24"/>
                <w:highlight w:val="none"/>
              </w:rPr>
            </w:pPr>
          </w:p>
        </w:tc>
        <w:tc>
          <w:tcPr>
            <w:tcW w:w="1738" w:type="dxa"/>
            <w:tcBorders>
              <w:top w:val="single" w:color="auto" w:sz="4" w:space="0"/>
              <w:left w:val="single" w:color="auto" w:sz="4" w:space="0"/>
              <w:bottom w:val="single" w:color="auto" w:sz="4" w:space="0"/>
              <w:right w:val="single" w:color="auto" w:sz="4" w:space="0"/>
            </w:tcBorders>
            <w:noWrap w:val="0"/>
            <w:vAlign w:val="center"/>
          </w:tcPr>
          <w:p w14:paraId="520126EE">
            <w:pPr>
              <w:spacing w:line="520" w:lineRule="exact"/>
              <w:jc w:val="center"/>
              <w:rPr>
                <w:rFonts w:hint="eastAsia" w:ascii="宋体" w:hAnsi="宋体" w:eastAsia="宋体" w:cs="宋体"/>
                <w:color w:val="auto"/>
                <w:sz w:val="24"/>
                <w:szCs w:val="24"/>
                <w:highlight w:val="none"/>
              </w:rPr>
            </w:pPr>
          </w:p>
        </w:tc>
      </w:tr>
      <w:tr w14:paraId="02E1B959">
        <w:tblPrEx>
          <w:tblCellMar>
            <w:top w:w="0" w:type="dxa"/>
            <w:left w:w="108" w:type="dxa"/>
            <w:bottom w:w="0" w:type="dxa"/>
            <w:right w:w="108" w:type="dxa"/>
          </w:tblCellMar>
        </w:tblPrEx>
        <w:trPr>
          <w:trHeight w:val="842" w:hRule="atLeast"/>
          <w:jc w:val="center"/>
        </w:trPr>
        <w:tc>
          <w:tcPr>
            <w:tcW w:w="1206" w:type="dxa"/>
            <w:tcBorders>
              <w:top w:val="single" w:color="auto" w:sz="4" w:space="0"/>
              <w:left w:val="single" w:color="auto" w:sz="4" w:space="0"/>
              <w:bottom w:val="single" w:color="auto" w:sz="4" w:space="0"/>
              <w:right w:val="single" w:color="auto" w:sz="4" w:space="0"/>
            </w:tcBorders>
            <w:noWrap w:val="0"/>
            <w:vAlign w:val="center"/>
          </w:tcPr>
          <w:p w14:paraId="2F564AE1">
            <w:pPr>
              <w:spacing w:line="5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201" w:type="dxa"/>
            <w:tcBorders>
              <w:top w:val="single" w:color="auto" w:sz="4" w:space="0"/>
              <w:left w:val="single" w:color="auto" w:sz="4" w:space="0"/>
              <w:bottom w:val="single" w:color="auto" w:sz="4" w:space="0"/>
              <w:right w:val="single" w:color="auto" w:sz="4" w:space="0"/>
            </w:tcBorders>
            <w:noWrap w:val="0"/>
            <w:vAlign w:val="center"/>
          </w:tcPr>
          <w:p w14:paraId="3C4801EC">
            <w:pPr>
              <w:spacing w:line="520" w:lineRule="exact"/>
              <w:jc w:val="center"/>
              <w:rPr>
                <w:rFonts w:hint="eastAsia" w:ascii="宋体" w:hAnsi="宋体" w:eastAsia="宋体" w:cs="宋体"/>
                <w:color w:val="auto"/>
                <w:position w:val="-6"/>
                <w:sz w:val="24"/>
                <w:szCs w:val="24"/>
                <w:highlight w:val="none"/>
                <w:lang w:val="zh-CN"/>
              </w:rPr>
            </w:pPr>
            <w:r>
              <w:rPr>
                <w:rFonts w:hint="eastAsia" w:ascii="宋体" w:hAnsi="宋体" w:cs="宋体"/>
                <w:color w:val="auto"/>
                <w:position w:val="-6"/>
                <w:sz w:val="24"/>
                <w:szCs w:val="24"/>
                <w:highlight w:val="none"/>
                <w:lang w:val="zh-CN"/>
              </w:rPr>
              <w:t>项目质量要求</w:t>
            </w:r>
          </w:p>
        </w:tc>
        <w:tc>
          <w:tcPr>
            <w:tcW w:w="3647" w:type="dxa"/>
            <w:tcBorders>
              <w:top w:val="single" w:color="auto" w:sz="4" w:space="0"/>
              <w:left w:val="single" w:color="auto" w:sz="4" w:space="0"/>
              <w:bottom w:val="single" w:color="auto" w:sz="4" w:space="0"/>
              <w:right w:val="single" w:color="auto" w:sz="4" w:space="0"/>
            </w:tcBorders>
            <w:noWrap w:val="0"/>
            <w:vAlign w:val="center"/>
          </w:tcPr>
          <w:p w14:paraId="301FECE5">
            <w:pPr>
              <w:spacing w:line="520" w:lineRule="exact"/>
              <w:jc w:val="center"/>
              <w:rPr>
                <w:rFonts w:hint="eastAsia" w:ascii="宋体" w:hAnsi="宋体" w:eastAsia="宋体" w:cs="宋体"/>
                <w:color w:val="auto"/>
                <w:sz w:val="24"/>
                <w:szCs w:val="24"/>
                <w:highlight w:val="none"/>
              </w:rPr>
            </w:pPr>
          </w:p>
        </w:tc>
        <w:tc>
          <w:tcPr>
            <w:tcW w:w="1738" w:type="dxa"/>
            <w:tcBorders>
              <w:top w:val="single" w:color="auto" w:sz="4" w:space="0"/>
              <w:left w:val="single" w:color="auto" w:sz="4" w:space="0"/>
              <w:bottom w:val="single" w:color="auto" w:sz="4" w:space="0"/>
              <w:right w:val="single" w:color="auto" w:sz="4" w:space="0"/>
            </w:tcBorders>
            <w:noWrap w:val="0"/>
            <w:vAlign w:val="center"/>
          </w:tcPr>
          <w:p w14:paraId="30052FF6">
            <w:pPr>
              <w:spacing w:line="520" w:lineRule="exact"/>
              <w:jc w:val="center"/>
              <w:rPr>
                <w:rFonts w:hint="eastAsia" w:ascii="宋体" w:hAnsi="宋体" w:eastAsia="宋体" w:cs="宋体"/>
                <w:color w:val="auto"/>
                <w:sz w:val="24"/>
                <w:szCs w:val="24"/>
                <w:highlight w:val="none"/>
              </w:rPr>
            </w:pPr>
          </w:p>
        </w:tc>
      </w:tr>
    </w:tbl>
    <w:p w14:paraId="74B5EA59">
      <w:pPr>
        <w:pStyle w:val="18"/>
        <w:spacing w:line="520" w:lineRule="exact"/>
        <w:ind w:left="800"/>
        <w:rPr>
          <w:rFonts w:hint="eastAsia" w:ascii="宋体" w:hAnsi="宋体" w:eastAsia="宋体" w:cs="宋体"/>
          <w:color w:val="auto"/>
          <w:sz w:val="24"/>
          <w:szCs w:val="24"/>
          <w:highlight w:val="none"/>
        </w:rPr>
      </w:pPr>
    </w:p>
    <w:p w14:paraId="22F30A6A">
      <w:pPr>
        <w:pStyle w:val="18"/>
        <w:spacing w:line="520" w:lineRule="exact"/>
        <w:ind w:left="800"/>
        <w:rPr>
          <w:rFonts w:hint="eastAsia" w:ascii="宋体" w:hAnsi="宋体" w:eastAsia="宋体" w:cs="宋体"/>
          <w:color w:val="auto"/>
          <w:sz w:val="24"/>
          <w:szCs w:val="24"/>
          <w:highlight w:val="none"/>
        </w:rPr>
      </w:pPr>
    </w:p>
    <w:p w14:paraId="32D6516A">
      <w:pPr>
        <w:pStyle w:val="18"/>
        <w:spacing w:line="520" w:lineRule="exact"/>
        <w:ind w:left="8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申请人（盖章）：</w:t>
      </w:r>
      <w:r>
        <w:rPr>
          <w:rFonts w:hint="eastAsia" w:ascii="宋体" w:hAnsi="宋体" w:eastAsia="宋体" w:cs="宋体"/>
          <w:color w:val="auto"/>
          <w:sz w:val="24"/>
          <w:szCs w:val="24"/>
          <w:highlight w:val="none"/>
          <w:u w:val="single"/>
        </w:rPr>
        <w:t xml:space="preserve">                              </w:t>
      </w:r>
    </w:p>
    <w:p w14:paraId="726C33AB">
      <w:pPr>
        <w:pStyle w:val="18"/>
        <w:spacing w:line="520" w:lineRule="exact"/>
        <w:ind w:left="800"/>
        <w:rPr>
          <w:rFonts w:hint="eastAsia" w:ascii="宋体" w:hAnsi="宋体" w:eastAsia="宋体" w:cs="宋体"/>
          <w:color w:val="auto"/>
          <w:sz w:val="24"/>
          <w:szCs w:val="24"/>
          <w:highlight w:val="none"/>
        </w:rPr>
      </w:pPr>
    </w:p>
    <w:p w14:paraId="63836EAA">
      <w:pPr>
        <w:pStyle w:val="18"/>
        <w:spacing w:line="520" w:lineRule="exact"/>
        <w:ind w:left="8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法定代表人（合伙人）或委托代理人（签字或盖章）：</w:t>
      </w:r>
      <w:r>
        <w:rPr>
          <w:rFonts w:hint="eastAsia" w:ascii="宋体" w:hAnsi="宋体" w:eastAsia="宋体" w:cs="宋体"/>
          <w:color w:val="auto"/>
          <w:sz w:val="24"/>
          <w:szCs w:val="24"/>
          <w:highlight w:val="none"/>
          <w:u w:val="single"/>
        </w:rPr>
        <w:t xml:space="preserve">              </w:t>
      </w:r>
    </w:p>
    <w:p w14:paraId="1EAB65F5">
      <w:pPr>
        <w:pStyle w:val="18"/>
        <w:spacing w:line="520" w:lineRule="exact"/>
        <w:ind w:left="800"/>
        <w:rPr>
          <w:rFonts w:hint="eastAsia" w:ascii="宋体" w:hAnsi="宋体" w:eastAsia="宋体" w:cs="宋体"/>
          <w:color w:val="auto"/>
          <w:sz w:val="24"/>
          <w:szCs w:val="24"/>
          <w:highlight w:val="none"/>
        </w:rPr>
      </w:pPr>
    </w:p>
    <w:p w14:paraId="08141DF5">
      <w:pPr>
        <w:pStyle w:val="18"/>
        <w:spacing w:line="520" w:lineRule="exact"/>
        <w:ind w:left="800"/>
        <w:rPr>
          <w:rFonts w:hint="eastAsia" w:ascii="宋体" w:hAnsi="宋体" w:eastAsia="宋体" w:cs="宋体"/>
          <w:color w:val="auto"/>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bookmarkStart w:id="207" w:name="_Toc197938954"/>
      <w:bookmarkStart w:id="208" w:name="_Toc229583239"/>
    </w:p>
    <w:p w14:paraId="4551C9F4">
      <w:pPr>
        <w:spacing w:line="520" w:lineRule="exact"/>
        <w:ind w:firstLine="482" w:firstLineChars="200"/>
        <w:rPr>
          <w:rFonts w:hint="eastAsia" w:ascii="宋体" w:hAnsi="宋体" w:eastAsia="宋体" w:cs="宋体"/>
          <w:b/>
          <w:bCs/>
          <w:color w:val="auto"/>
          <w:sz w:val="24"/>
          <w:szCs w:val="24"/>
          <w:highlight w:val="none"/>
        </w:rPr>
      </w:pPr>
    </w:p>
    <w:p w14:paraId="1CA4065A">
      <w:pPr>
        <w:spacing w:line="52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说明：</w:t>
      </w:r>
    </w:p>
    <w:p w14:paraId="6228DA0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1、本报价的币种为人民币。</w:t>
      </w:r>
    </w:p>
    <w:p w14:paraId="1E60E50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2、申请人应将询价报价需要说明的其他事项，用文字书写与询价报价表一并报送。</w:t>
      </w:r>
    </w:p>
    <w:p w14:paraId="04EA456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3、本表需放在响应文件封面后第一页。</w:t>
      </w:r>
    </w:p>
    <w:p w14:paraId="31C2B2E5">
      <w:pPr>
        <w:pStyle w:val="3"/>
        <w:keepNext w:val="0"/>
        <w:widowControl w:val="0"/>
        <w:spacing w:before="0" w:after="0" w:line="520" w:lineRule="exact"/>
        <w:jc w:val="center"/>
        <w:rPr>
          <w:rFonts w:hint="eastAsia" w:ascii="宋体" w:hAnsi="宋体" w:eastAsia="宋体" w:cs="宋体"/>
          <w:b/>
          <w:bCs/>
          <w:color w:val="auto"/>
          <w:sz w:val="30"/>
          <w:szCs w:val="30"/>
          <w:highlight w:val="none"/>
          <w:lang w:val="en-US" w:eastAsia="zh-CN" w:bidi="ar-SA"/>
        </w:rPr>
      </w:pPr>
      <w:r>
        <w:rPr>
          <w:rFonts w:hint="eastAsia" w:ascii="宋体" w:hAnsi="宋体" w:eastAsia="宋体" w:cs="宋体"/>
          <w:color w:val="auto"/>
          <w:sz w:val="24"/>
          <w:szCs w:val="24"/>
          <w:highlight w:val="none"/>
        </w:rPr>
        <w:br w:type="page"/>
      </w:r>
      <w:bookmarkEnd w:id="207"/>
      <w:bookmarkEnd w:id="208"/>
      <w:bookmarkStart w:id="209" w:name="_Toc5885"/>
      <w:bookmarkStart w:id="210" w:name="_Toc350966310"/>
      <w:bookmarkStart w:id="211" w:name="_Toc332642501"/>
      <w:bookmarkStart w:id="212" w:name="_Toc16922"/>
      <w:bookmarkStart w:id="213" w:name="_Toc453086238"/>
      <w:bookmarkStart w:id="214" w:name="_Toc27163"/>
      <w:bookmarkStart w:id="215" w:name="_Toc432792990"/>
      <w:bookmarkStart w:id="216" w:name="_Toc393804754"/>
      <w:bookmarkStart w:id="217" w:name="_Toc429729046"/>
      <w:r>
        <w:rPr>
          <w:rFonts w:hint="eastAsia" w:ascii="宋体" w:hAnsi="宋体" w:eastAsia="宋体" w:cs="宋体"/>
          <w:b/>
          <w:bCs w:val="0"/>
          <w:color w:val="auto"/>
          <w:sz w:val="30"/>
          <w:szCs w:val="30"/>
          <w:highlight w:val="none"/>
          <w:lang w:val="en-US" w:eastAsia="zh-CN"/>
        </w:rPr>
        <w:t>（十二）承诺函</w:t>
      </w:r>
      <w:bookmarkEnd w:id="209"/>
      <w:bookmarkEnd w:id="210"/>
      <w:bookmarkEnd w:id="211"/>
      <w:bookmarkEnd w:id="212"/>
      <w:bookmarkEnd w:id="213"/>
    </w:p>
    <w:p w14:paraId="1AF488B0">
      <w:pPr>
        <w:wordWrap w:val="0"/>
        <w:spacing w:line="520" w:lineRule="exac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致：</w:t>
      </w:r>
      <w:r>
        <w:rPr>
          <w:rFonts w:hint="eastAsia" w:ascii="宋体" w:hAnsi="宋体" w:eastAsia="宋体" w:cs="宋体"/>
          <w:b/>
          <w:color w:val="auto"/>
          <w:sz w:val="24"/>
          <w:szCs w:val="24"/>
          <w:highlight w:val="none"/>
          <w:u w:val="single"/>
        </w:rPr>
        <w:t xml:space="preserve">                              </w:t>
      </w:r>
      <w:r>
        <w:rPr>
          <w:rFonts w:hint="eastAsia" w:ascii="宋体" w:hAnsi="宋体" w:eastAsia="宋体" w:cs="宋体"/>
          <w:b/>
          <w:color w:val="auto"/>
          <w:sz w:val="24"/>
          <w:szCs w:val="24"/>
          <w:highlight w:val="none"/>
        </w:rPr>
        <w:t>（采购人全称）</w:t>
      </w:r>
    </w:p>
    <w:p w14:paraId="742696F3">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1、我方经研究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项目询价文件，遵照法律法规等有关规定，我方愿以响应文件中的报价，并按询价文件的要求完成项目工作及后续服务，并承担任何审查责任。</w:t>
      </w:r>
    </w:p>
    <w:p w14:paraId="7AE4F110">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2、我方承诺报价不低于我们自身的成本。</w:t>
      </w:r>
    </w:p>
    <w:p w14:paraId="3E9F6E6C">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3、我方已详细审核全部询价文件，包括修改文件（如有时）及有关附件。</w:t>
      </w:r>
    </w:p>
    <w:p w14:paraId="30FE9351">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4、一旦我方成交，我方保证按合同协议书中规定的</w:t>
      </w:r>
      <w:r>
        <w:rPr>
          <w:rFonts w:hint="eastAsia" w:ascii="宋体" w:hAnsi="宋体" w:cs="宋体"/>
          <w:color w:val="auto"/>
          <w:sz w:val="24"/>
          <w:szCs w:val="24"/>
          <w:highlight w:val="none"/>
          <w:lang w:eastAsia="zh-CN"/>
        </w:rPr>
        <w:t>服务周期</w:t>
      </w:r>
      <w:r>
        <w:rPr>
          <w:rFonts w:hint="eastAsia" w:ascii="宋体" w:hAnsi="宋体" w:eastAsia="宋体" w:cs="宋体"/>
          <w:color w:val="auto"/>
          <w:sz w:val="24"/>
          <w:szCs w:val="24"/>
          <w:highlight w:val="none"/>
        </w:rPr>
        <w:t>、服务质量完成项目工作。</w:t>
      </w:r>
    </w:p>
    <w:p w14:paraId="47EFDBD5">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5、我方同意所提交的</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文件在询价文件规定的有效期内有效，在此期间内如果成交，我方将受此约束。</w:t>
      </w:r>
    </w:p>
    <w:p w14:paraId="3EB1F702">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6、除非另外达成协议并生效，你方的询价文件、成交通知书和我方的响应文件将成为约束双方的合同文件的组成部分。</w:t>
      </w:r>
    </w:p>
    <w:p w14:paraId="156741CC">
      <w:pPr>
        <w:spacing w:line="520" w:lineRule="exact"/>
        <w:rPr>
          <w:rFonts w:hint="eastAsia" w:ascii="宋体" w:hAnsi="宋体" w:eastAsia="宋体" w:cs="宋体"/>
          <w:color w:val="auto"/>
          <w:sz w:val="24"/>
          <w:szCs w:val="24"/>
          <w:highlight w:val="none"/>
        </w:rPr>
      </w:pPr>
    </w:p>
    <w:p w14:paraId="5025EA3B">
      <w:pPr>
        <w:spacing w:line="520" w:lineRule="exac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申请人（盖章）：</w:t>
      </w:r>
      <w:r>
        <w:rPr>
          <w:rFonts w:hint="eastAsia" w:ascii="宋体" w:hAnsi="宋体" w:eastAsia="宋体" w:cs="宋体"/>
          <w:color w:val="auto"/>
          <w:sz w:val="24"/>
          <w:szCs w:val="24"/>
          <w:highlight w:val="none"/>
          <w:u w:val="single"/>
        </w:rPr>
        <w:t xml:space="preserve">                </w:t>
      </w:r>
    </w:p>
    <w:p w14:paraId="73EAE93F">
      <w:pPr>
        <w:pStyle w:val="18"/>
        <w:spacing w:line="520" w:lineRule="exac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法定代表人（合伙人）或委托代理人（签字或盖章）：</w:t>
      </w:r>
      <w:r>
        <w:rPr>
          <w:rFonts w:hint="eastAsia" w:ascii="宋体" w:hAnsi="宋体" w:eastAsia="宋体" w:cs="宋体"/>
          <w:color w:val="auto"/>
          <w:sz w:val="24"/>
          <w:szCs w:val="24"/>
          <w:highlight w:val="none"/>
          <w:u w:val="single"/>
        </w:rPr>
        <w:t xml:space="preserve">              </w:t>
      </w:r>
    </w:p>
    <w:p w14:paraId="5F8AD4C9">
      <w:pPr>
        <w:pStyle w:val="7"/>
        <w:spacing w:line="520" w:lineRule="exact"/>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日</w:t>
      </w:r>
    </w:p>
    <w:p w14:paraId="4B5D1B73">
      <w:pPr>
        <w:pStyle w:val="3"/>
        <w:numPr>
          <w:ilvl w:val="0"/>
          <w:numId w:val="0"/>
        </w:numPr>
        <w:spacing w:before="0" w:after="0" w:line="520" w:lineRule="exact"/>
        <w:jc w:val="center"/>
        <w:rPr>
          <w:rFonts w:hint="eastAsia" w:ascii="宋体" w:hAnsi="宋体" w:eastAsia="宋体" w:cs="宋体"/>
          <w:b/>
          <w:bCs w:val="0"/>
          <w:color w:val="auto"/>
          <w:sz w:val="30"/>
          <w:szCs w:val="30"/>
          <w:highlight w:val="none"/>
          <w:lang w:val="en-US" w:eastAsia="zh-CN"/>
        </w:rPr>
      </w:pPr>
      <w:bookmarkStart w:id="218" w:name="_Toc3775"/>
      <w:bookmarkStart w:id="219" w:name="_Toc14982"/>
      <w:r>
        <w:rPr>
          <w:rFonts w:hint="eastAsia" w:ascii="宋体" w:hAnsi="宋体" w:eastAsia="宋体" w:cs="宋体"/>
          <w:b w:val="0"/>
          <w:color w:val="auto"/>
          <w:sz w:val="30"/>
          <w:szCs w:val="30"/>
          <w:highlight w:val="none"/>
        </w:rPr>
        <w:br w:type="page"/>
      </w:r>
      <w:bookmarkStart w:id="220" w:name="_Toc28653"/>
      <w:r>
        <w:rPr>
          <w:rFonts w:hint="eastAsia" w:ascii="宋体" w:hAnsi="宋体" w:eastAsia="宋体" w:cs="宋体"/>
          <w:b/>
          <w:bCs/>
          <w:color w:val="auto"/>
          <w:sz w:val="30"/>
          <w:szCs w:val="30"/>
          <w:highlight w:val="none"/>
          <w:lang w:val="en-US" w:eastAsia="zh-CN" w:bidi="ar-SA"/>
        </w:rPr>
        <w:t>（十三）</w:t>
      </w:r>
      <w:r>
        <w:rPr>
          <w:rFonts w:hint="eastAsia" w:ascii="宋体" w:hAnsi="宋体" w:eastAsia="宋体" w:cs="宋体"/>
          <w:b/>
          <w:bCs w:val="0"/>
          <w:color w:val="auto"/>
          <w:sz w:val="30"/>
          <w:szCs w:val="30"/>
          <w:highlight w:val="none"/>
          <w:lang w:val="en-US" w:eastAsia="zh-CN"/>
        </w:rPr>
        <w:t>针对本项目拟提供的服务方案</w:t>
      </w:r>
      <w:bookmarkEnd w:id="220"/>
    </w:p>
    <w:p w14:paraId="49B40A53">
      <w:pPr>
        <w:numPr>
          <w:ilvl w:val="0"/>
          <w:numId w:val="0"/>
        </w:numPr>
        <w:spacing w:before="0" w:after="0" w:line="520" w:lineRule="exact"/>
        <w:jc w:val="center"/>
        <w:outlineLvl w:val="9"/>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针对本项目拟为采购人提供的服务方案，如</w:t>
      </w:r>
      <w:r>
        <w:rPr>
          <w:rFonts w:hint="eastAsia" w:ascii="宋体" w:hAnsi="宋体" w:cs="宋体"/>
          <w:b w:val="0"/>
          <w:bCs/>
          <w:color w:val="auto"/>
          <w:sz w:val="24"/>
          <w:szCs w:val="24"/>
          <w:highlight w:val="none"/>
          <w:lang w:val="en-US" w:eastAsia="zh-CN"/>
        </w:rPr>
        <w:t>服务保障、质量保证及措施、售后服务</w:t>
      </w:r>
      <w:r>
        <w:rPr>
          <w:rFonts w:hint="eastAsia" w:ascii="宋体" w:hAnsi="宋体" w:eastAsia="宋体" w:cs="宋体"/>
          <w:b w:val="0"/>
          <w:bCs/>
          <w:color w:val="auto"/>
          <w:sz w:val="24"/>
          <w:szCs w:val="24"/>
          <w:highlight w:val="none"/>
          <w:lang w:val="en-US" w:eastAsia="zh-CN"/>
        </w:rPr>
        <w:t>、增值服务等</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有供应商自行填写</w:t>
      </w:r>
      <w:r>
        <w:rPr>
          <w:rFonts w:hint="eastAsia" w:ascii="宋体" w:hAnsi="宋体" w:eastAsia="宋体" w:cs="宋体"/>
          <w:b w:val="0"/>
          <w:bCs/>
          <w:color w:val="auto"/>
          <w:sz w:val="24"/>
          <w:szCs w:val="24"/>
          <w:highlight w:val="none"/>
        </w:rPr>
        <w:t>）</w:t>
      </w:r>
    </w:p>
    <w:p w14:paraId="73219108">
      <w:pPr>
        <w:numPr>
          <w:ilvl w:val="0"/>
          <w:numId w:val="0"/>
        </w:numPr>
        <w:spacing w:before="0" w:after="0" w:line="520" w:lineRule="exact"/>
        <w:jc w:val="center"/>
        <w:outlineLvl w:val="9"/>
        <w:rPr>
          <w:rFonts w:hint="eastAsia" w:ascii="宋体" w:hAnsi="宋体" w:eastAsia="宋体" w:cs="宋体"/>
          <w:b w:val="0"/>
          <w:bCs/>
          <w:color w:val="auto"/>
          <w:sz w:val="24"/>
          <w:szCs w:val="24"/>
          <w:highlight w:val="none"/>
        </w:rPr>
      </w:pPr>
    </w:p>
    <w:p w14:paraId="1716FD59">
      <w:pPr>
        <w:numPr>
          <w:ilvl w:val="0"/>
          <w:numId w:val="0"/>
        </w:numPr>
        <w:spacing w:before="0" w:after="0" w:line="520" w:lineRule="exact"/>
        <w:jc w:val="center"/>
        <w:outlineLvl w:val="1"/>
        <w:rPr>
          <w:rFonts w:hint="eastAsia" w:ascii="宋体" w:hAnsi="宋体" w:eastAsia="宋体" w:cs="宋体"/>
          <w:b/>
          <w:bCs w:val="0"/>
          <w:color w:val="auto"/>
          <w:sz w:val="30"/>
          <w:szCs w:val="30"/>
          <w:highlight w:val="none"/>
        </w:rPr>
      </w:pPr>
      <w:r>
        <w:rPr>
          <w:rFonts w:hint="eastAsia" w:ascii="宋体" w:hAnsi="宋体" w:eastAsia="宋体" w:cs="宋体"/>
          <w:b w:val="0"/>
          <w:bCs/>
          <w:color w:val="auto"/>
          <w:sz w:val="24"/>
          <w:szCs w:val="24"/>
          <w:highlight w:val="none"/>
        </w:rPr>
        <w:br w:type="page"/>
      </w:r>
      <w:bookmarkStart w:id="221" w:name="_Toc25893"/>
      <w:r>
        <w:rPr>
          <w:rFonts w:hint="eastAsia" w:ascii="宋体" w:hAnsi="宋体" w:eastAsia="宋体" w:cs="宋体"/>
          <w:b/>
          <w:bCs w:val="0"/>
          <w:color w:val="auto"/>
          <w:sz w:val="30"/>
          <w:szCs w:val="30"/>
          <w:highlight w:val="none"/>
        </w:rPr>
        <w:t>（十</w:t>
      </w:r>
      <w:r>
        <w:rPr>
          <w:rFonts w:hint="eastAsia" w:ascii="宋体" w:hAnsi="宋体" w:cs="宋体"/>
          <w:b/>
          <w:bCs w:val="0"/>
          <w:color w:val="auto"/>
          <w:sz w:val="30"/>
          <w:szCs w:val="30"/>
          <w:highlight w:val="none"/>
          <w:lang w:val="en-US" w:eastAsia="zh-CN"/>
        </w:rPr>
        <w:t>四</w:t>
      </w:r>
      <w:r>
        <w:rPr>
          <w:rFonts w:hint="eastAsia" w:ascii="宋体" w:hAnsi="宋体" w:eastAsia="宋体" w:cs="宋体"/>
          <w:b/>
          <w:bCs w:val="0"/>
          <w:color w:val="auto"/>
          <w:sz w:val="30"/>
          <w:szCs w:val="30"/>
          <w:highlight w:val="none"/>
        </w:rPr>
        <w:t>）申请人认为有必要提供的其他资料</w:t>
      </w:r>
      <w:bookmarkEnd w:id="214"/>
      <w:bookmarkEnd w:id="215"/>
      <w:bookmarkEnd w:id="216"/>
      <w:bookmarkEnd w:id="217"/>
      <w:bookmarkEnd w:id="218"/>
      <w:bookmarkEnd w:id="219"/>
      <w:bookmarkEnd w:id="221"/>
    </w:p>
    <w:p w14:paraId="72E3ABEA">
      <w:pPr>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（1）与采购人存在利害关系可能影响</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公正性的法人、其他组织或个人，不得参与本项目</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（提供承诺函）。</w:t>
      </w:r>
    </w:p>
    <w:p w14:paraId="0EEB5360">
      <w:pPr>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（2）单位负责人为同一人或者存在控股、管理关系的不同单位，不得</w:t>
      </w:r>
      <w:r>
        <w:rPr>
          <w:rFonts w:hint="eastAsia" w:ascii="宋体" w:hAnsi="宋体" w:eastAsia="宋体" w:cs="宋体"/>
          <w:color w:val="auto"/>
          <w:sz w:val="24"/>
          <w:szCs w:val="24"/>
          <w:highlight w:val="none"/>
          <w:lang w:val="en-US" w:eastAsia="zh-CN"/>
        </w:rPr>
        <w:t>同时</w:t>
      </w:r>
      <w:r>
        <w:rPr>
          <w:rFonts w:hint="eastAsia" w:ascii="宋体" w:hAnsi="宋体" w:eastAsia="宋体" w:cs="宋体"/>
          <w:color w:val="auto"/>
          <w:sz w:val="24"/>
          <w:szCs w:val="24"/>
          <w:highlight w:val="none"/>
        </w:rPr>
        <w:t>参加本项目的</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（提供声明函）。</w:t>
      </w:r>
    </w:p>
    <w:p w14:paraId="567C42CD">
      <w:pPr>
        <w:spacing w:line="520" w:lineRule="exact"/>
        <w:ind w:firstLine="480" w:firstLineChars="200"/>
        <w:jc w:val="both"/>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询价文件中要求提供的其他内容</w:t>
      </w:r>
    </w:p>
    <w:p w14:paraId="72801CD3">
      <w:pPr>
        <w:spacing w:line="520" w:lineRule="exact"/>
        <w:ind w:firstLine="480" w:firstLineChars="200"/>
        <w:jc w:val="center"/>
        <w:rPr>
          <w:rFonts w:hint="eastAsia" w:ascii="宋体" w:hAnsi="宋体" w:eastAsia="宋体" w:cs="宋体"/>
          <w:color w:val="auto"/>
          <w:highlight w:val="none"/>
        </w:rPr>
      </w:pPr>
      <w:r>
        <w:rPr>
          <w:rFonts w:hint="eastAsia" w:ascii="宋体" w:hAnsi="宋体" w:eastAsia="宋体" w:cs="宋体"/>
          <w:color w:val="auto"/>
          <w:sz w:val="24"/>
          <w:szCs w:val="24"/>
          <w:highlight w:val="none"/>
        </w:rPr>
        <w:t>由申请人自行编写。</w:t>
      </w:r>
    </w:p>
    <w:sectPr>
      <w:footerReference r:id="rId4" w:type="default"/>
      <w:pgSz w:w="11906" w:h="16838"/>
      <w:pgMar w:top="1440" w:right="1080" w:bottom="1440" w:left="108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F61D2">
    <w:pPr>
      <w:pStyle w:val="15"/>
      <w:jc w:val="center"/>
    </w:pPr>
    <w:r>
      <w:fldChar w:fldCharType="begin"/>
    </w:r>
    <w:r>
      <w:instrText xml:space="preserve">PAGE   \* MERGEFORMAT</w:instrText>
    </w:r>
    <w:r>
      <w:fldChar w:fldCharType="separate"/>
    </w:r>
    <w:r>
      <w:rPr>
        <w:lang w:val="zh-CN"/>
      </w:rPr>
      <w:t>2</w:t>
    </w:r>
    <w:r>
      <w:fldChar w:fldCharType="end"/>
    </w:r>
  </w:p>
  <w:p w14:paraId="7406A1E1">
    <w:pPr>
      <w:tabs>
        <w:tab w:val="center" w:pos="4153"/>
        <w:tab w:val="right" w:pos="8306"/>
      </w:tabs>
      <w:snapToGrid w:val="0"/>
      <w:ind w:right="720"/>
      <w:rPr>
        <w:rFonts w:hint="eastAsia" w:eastAsia="宋体"/>
        <w:sz w:val="18"/>
        <w:szCs w:val="18"/>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C8C18">
    <w:pPr>
      <w:pStyle w:val="16"/>
      <w:jc w:val="distribute"/>
      <w:rPr>
        <w:rFonts w:hint="eastAsia"/>
      </w:rPr>
    </w:pPr>
    <w:r>
      <w:rPr>
        <w:rFonts w:hint="eastAsia"/>
        <w:lang w:eastAsia="zh-CN"/>
      </w:rPr>
      <w:t xml:space="preserve"> 昆明鑫安道路设施维护有限公司清算报告服务项目（四次）</w:t>
    </w:r>
    <w:r>
      <w:rPr>
        <w:rFonts w:hint="eastAsia"/>
      </w:rPr>
      <w:t xml:space="preserve"> </w:t>
    </w:r>
    <w:r>
      <w:t xml:space="preserve">      </w:t>
    </w:r>
    <w:r>
      <w:rPr>
        <w:rFonts w:hint="eastAsia"/>
        <w:lang w:val="en-US" w:eastAsia="zh-CN"/>
      </w:rPr>
      <w:t xml:space="preserve">            </w:t>
    </w:r>
    <w:r>
      <w:t xml:space="preserve"> </w:t>
    </w:r>
    <w:r>
      <w:rPr>
        <w:rFonts w:hint="eastAsia"/>
      </w:rPr>
      <w:t>询价文件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1YjRhYjM1MDUxYzlkMTVhYzE3MDdmMjg0NjFkMmIifQ=="/>
  </w:docVars>
  <w:rsids>
    <w:rsidRoot w:val="000F2ACC"/>
    <w:rsid w:val="00067C4E"/>
    <w:rsid w:val="0009680F"/>
    <w:rsid w:val="000D0485"/>
    <w:rsid w:val="000F2ACC"/>
    <w:rsid w:val="0012264B"/>
    <w:rsid w:val="00124F91"/>
    <w:rsid w:val="00126456"/>
    <w:rsid w:val="001A0DA1"/>
    <w:rsid w:val="001A52FE"/>
    <w:rsid w:val="001B0525"/>
    <w:rsid w:val="001B76FD"/>
    <w:rsid w:val="002456FC"/>
    <w:rsid w:val="002835A6"/>
    <w:rsid w:val="00301E4F"/>
    <w:rsid w:val="0037511C"/>
    <w:rsid w:val="003B1E08"/>
    <w:rsid w:val="004075AD"/>
    <w:rsid w:val="00413C38"/>
    <w:rsid w:val="004371DD"/>
    <w:rsid w:val="00564FBB"/>
    <w:rsid w:val="00580E76"/>
    <w:rsid w:val="00583352"/>
    <w:rsid w:val="005B00DE"/>
    <w:rsid w:val="005E7A88"/>
    <w:rsid w:val="00603407"/>
    <w:rsid w:val="006238DE"/>
    <w:rsid w:val="00692A16"/>
    <w:rsid w:val="007267E0"/>
    <w:rsid w:val="00746C8C"/>
    <w:rsid w:val="00773B8F"/>
    <w:rsid w:val="007A6534"/>
    <w:rsid w:val="007D41DB"/>
    <w:rsid w:val="007E1961"/>
    <w:rsid w:val="007F00B5"/>
    <w:rsid w:val="00811EF9"/>
    <w:rsid w:val="00881300"/>
    <w:rsid w:val="008912AD"/>
    <w:rsid w:val="008A4405"/>
    <w:rsid w:val="008F5071"/>
    <w:rsid w:val="0095394C"/>
    <w:rsid w:val="009822CE"/>
    <w:rsid w:val="00995F4D"/>
    <w:rsid w:val="009A246F"/>
    <w:rsid w:val="009A34E6"/>
    <w:rsid w:val="00A047DE"/>
    <w:rsid w:val="00A31029"/>
    <w:rsid w:val="00AA0F8F"/>
    <w:rsid w:val="00AA3EB7"/>
    <w:rsid w:val="00B34D5A"/>
    <w:rsid w:val="00BA059C"/>
    <w:rsid w:val="00BE32F3"/>
    <w:rsid w:val="00BF1597"/>
    <w:rsid w:val="00C46DCA"/>
    <w:rsid w:val="00C806C0"/>
    <w:rsid w:val="00CA5D57"/>
    <w:rsid w:val="00CF6503"/>
    <w:rsid w:val="00D57326"/>
    <w:rsid w:val="00DE6B77"/>
    <w:rsid w:val="00E23E46"/>
    <w:rsid w:val="00E5765E"/>
    <w:rsid w:val="00F50CDF"/>
    <w:rsid w:val="00FC04BC"/>
    <w:rsid w:val="012A427C"/>
    <w:rsid w:val="01483CD8"/>
    <w:rsid w:val="01933707"/>
    <w:rsid w:val="01AC4DAF"/>
    <w:rsid w:val="01D17056"/>
    <w:rsid w:val="02293D79"/>
    <w:rsid w:val="02594583"/>
    <w:rsid w:val="02A768F9"/>
    <w:rsid w:val="02C55958"/>
    <w:rsid w:val="02D10DD9"/>
    <w:rsid w:val="02D66B1D"/>
    <w:rsid w:val="031E5BB0"/>
    <w:rsid w:val="03455F4E"/>
    <w:rsid w:val="035C2D3F"/>
    <w:rsid w:val="036A66F5"/>
    <w:rsid w:val="041334A1"/>
    <w:rsid w:val="04261D2E"/>
    <w:rsid w:val="05832D77"/>
    <w:rsid w:val="05924D4E"/>
    <w:rsid w:val="05ED75E4"/>
    <w:rsid w:val="063866AA"/>
    <w:rsid w:val="066A0CD6"/>
    <w:rsid w:val="067204D8"/>
    <w:rsid w:val="0676641E"/>
    <w:rsid w:val="06A528D7"/>
    <w:rsid w:val="07500A1D"/>
    <w:rsid w:val="07511C0F"/>
    <w:rsid w:val="07B20D33"/>
    <w:rsid w:val="07B6124A"/>
    <w:rsid w:val="07D76D93"/>
    <w:rsid w:val="07E94F36"/>
    <w:rsid w:val="083154A3"/>
    <w:rsid w:val="08461F3A"/>
    <w:rsid w:val="08BA0DB2"/>
    <w:rsid w:val="08F16803"/>
    <w:rsid w:val="08FA1588"/>
    <w:rsid w:val="09380B49"/>
    <w:rsid w:val="09843770"/>
    <w:rsid w:val="09960649"/>
    <w:rsid w:val="09A323A3"/>
    <w:rsid w:val="09B72319"/>
    <w:rsid w:val="09EB191B"/>
    <w:rsid w:val="0A876657"/>
    <w:rsid w:val="0AFD66B1"/>
    <w:rsid w:val="0B276740"/>
    <w:rsid w:val="0BA411C7"/>
    <w:rsid w:val="0BD47831"/>
    <w:rsid w:val="0C0059BB"/>
    <w:rsid w:val="0CE01E16"/>
    <w:rsid w:val="0CFF437D"/>
    <w:rsid w:val="0D6200E2"/>
    <w:rsid w:val="0DD140FC"/>
    <w:rsid w:val="0DD40BF5"/>
    <w:rsid w:val="0DE03235"/>
    <w:rsid w:val="0DE620DB"/>
    <w:rsid w:val="0E697043"/>
    <w:rsid w:val="0E8B6CC1"/>
    <w:rsid w:val="0E9A48B0"/>
    <w:rsid w:val="0EBA133D"/>
    <w:rsid w:val="0EDB30FB"/>
    <w:rsid w:val="0F2E323E"/>
    <w:rsid w:val="11BE1F4B"/>
    <w:rsid w:val="11F8418B"/>
    <w:rsid w:val="122F28C3"/>
    <w:rsid w:val="12334F1A"/>
    <w:rsid w:val="12377978"/>
    <w:rsid w:val="12826542"/>
    <w:rsid w:val="131F3B91"/>
    <w:rsid w:val="13DB798B"/>
    <w:rsid w:val="13FA68E0"/>
    <w:rsid w:val="14A33021"/>
    <w:rsid w:val="15935B9C"/>
    <w:rsid w:val="15D373E9"/>
    <w:rsid w:val="15E83537"/>
    <w:rsid w:val="160B7FC6"/>
    <w:rsid w:val="164E2712"/>
    <w:rsid w:val="16917577"/>
    <w:rsid w:val="170D0C45"/>
    <w:rsid w:val="17415CB5"/>
    <w:rsid w:val="17645F1E"/>
    <w:rsid w:val="17D65F94"/>
    <w:rsid w:val="17EB5CF0"/>
    <w:rsid w:val="18043F0C"/>
    <w:rsid w:val="188D3129"/>
    <w:rsid w:val="18DD63E2"/>
    <w:rsid w:val="18F03E0E"/>
    <w:rsid w:val="196B16E7"/>
    <w:rsid w:val="19C30525"/>
    <w:rsid w:val="19D75EA2"/>
    <w:rsid w:val="1A411D6E"/>
    <w:rsid w:val="1A976B9C"/>
    <w:rsid w:val="1B183CE7"/>
    <w:rsid w:val="1B6634E2"/>
    <w:rsid w:val="1BC96F94"/>
    <w:rsid w:val="1C0B277E"/>
    <w:rsid w:val="1CB65AE5"/>
    <w:rsid w:val="1CCA37C0"/>
    <w:rsid w:val="1CE04199"/>
    <w:rsid w:val="1D714B3C"/>
    <w:rsid w:val="1DB77BDC"/>
    <w:rsid w:val="1DED2548"/>
    <w:rsid w:val="1E332792"/>
    <w:rsid w:val="1E5D3B6B"/>
    <w:rsid w:val="1F114BE0"/>
    <w:rsid w:val="1FB46D47"/>
    <w:rsid w:val="1FF75985"/>
    <w:rsid w:val="200E552B"/>
    <w:rsid w:val="201F5FB7"/>
    <w:rsid w:val="202B417A"/>
    <w:rsid w:val="205F59D0"/>
    <w:rsid w:val="2074495E"/>
    <w:rsid w:val="20E96958"/>
    <w:rsid w:val="20FA1CCE"/>
    <w:rsid w:val="212A0EC0"/>
    <w:rsid w:val="21516821"/>
    <w:rsid w:val="21CF45E9"/>
    <w:rsid w:val="21D4251F"/>
    <w:rsid w:val="21D97A24"/>
    <w:rsid w:val="21EA2BDE"/>
    <w:rsid w:val="22927101"/>
    <w:rsid w:val="22B22052"/>
    <w:rsid w:val="22B569E9"/>
    <w:rsid w:val="22B94599"/>
    <w:rsid w:val="22DD2DC8"/>
    <w:rsid w:val="23E17175"/>
    <w:rsid w:val="242B4894"/>
    <w:rsid w:val="24C03833"/>
    <w:rsid w:val="24C83E91"/>
    <w:rsid w:val="256242E5"/>
    <w:rsid w:val="257B0BB7"/>
    <w:rsid w:val="25995066"/>
    <w:rsid w:val="25E30EC8"/>
    <w:rsid w:val="260E28C7"/>
    <w:rsid w:val="2683046E"/>
    <w:rsid w:val="27743E5C"/>
    <w:rsid w:val="27973C19"/>
    <w:rsid w:val="27A56D15"/>
    <w:rsid w:val="27CD32B8"/>
    <w:rsid w:val="282B4E63"/>
    <w:rsid w:val="28742142"/>
    <w:rsid w:val="288864D2"/>
    <w:rsid w:val="28B932AE"/>
    <w:rsid w:val="28EB6042"/>
    <w:rsid w:val="28FE4325"/>
    <w:rsid w:val="29435513"/>
    <w:rsid w:val="29E36E57"/>
    <w:rsid w:val="2A195597"/>
    <w:rsid w:val="2A5210F2"/>
    <w:rsid w:val="2A557F75"/>
    <w:rsid w:val="2AF766C1"/>
    <w:rsid w:val="2BCE179A"/>
    <w:rsid w:val="2BCF6FF5"/>
    <w:rsid w:val="2C4E1120"/>
    <w:rsid w:val="2CAE7E64"/>
    <w:rsid w:val="2CD96526"/>
    <w:rsid w:val="2CDB04C7"/>
    <w:rsid w:val="2D7C3A6A"/>
    <w:rsid w:val="2D7D4AB5"/>
    <w:rsid w:val="2D894E28"/>
    <w:rsid w:val="2D9139BA"/>
    <w:rsid w:val="2DAB6A96"/>
    <w:rsid w:val="2DCE6A15"/>
    <w:rsid w:val="2DDB043C"/>
    <w:rsid w:val="2E527F84"/>
    <w:rsid w:val="2E6235CA"/>
    <w:rsid w:val="2E953036"/>
    <w:rsid w:val="2E9C1183"/>
    <w:rsid w:val="2F2D1B1A"/>
    <w:rsid w:val="2F440932"/>
    <w:rsid w:val="30301634"/>
    <w:rsid w:val="304560A2"/>
    <w:rsid w:val="30524977"/>
    <w:rsid w:val="308E11B4"/>
    <w:rsid w:val="30A02057"/>
    <w:rsid w:val="30EB5DC4"/>
    <w:rsid w:val="3173038C"/>
    <w:rsid w:val="318F2D88"/>
    <w:rsid w:val="31B163D9"/>
    <w:rsid w:val="31C825B9"/>
    <w:rsid w:val="31DF7699"/>
    <w:rsid w:val="320851CC"/>
    <w:rsid w:val="32094C09"/>
    <w:rsid w:val="32704876"/>
    <w:rsid w:val="32A71310"/>
    <w:rsid w:val="32AF240A"/>
    <w:rsid w:val="32C45F74"/>
    <w:rsid w:val="32D0575C"/>
    <w:rsid w:val="32D83E39"/>
    <w:rsid w:val="330E3889"/>
    <w:rsid w:val="336456CD"/>
    <w:rsid w:val="339C1FC5"/>
    <w:rsid w:val="33AA2BFA"/>
    <w:rsid w:val="33DB2299"/>
    <w:rsid w:val="34607C42"/>
    <w:rsid w:val="3462215E"/>
    <w:rsid w:val="34C05684"/>
    <w:rsid w:val="35401F9A"/>
    <w:rsid w:val="356236AB"/>
    <w:rsid w:val="35A70529"/>
    <w:rsid w:val="35D844ED"/>
    <w:rsid w:val="35D93B5E"/>
    <w:rsid w:val="360A6F11"/>
    <w:rsid w:val="364328CC"/>
    <w:rsid w:val="36C10F1B"/>
    <w:rsid w:val="375012EB"/>
    <w:rsid w:val="37BA1029"/>
    <w:rsid w:val="37D20E57"/>
    <w:rsid w:val="37E9332D"/>
    <w:rsid w:val="380C0D30"/>
    <w:rsid w:val="381507D3"/>
    <w:rsid w:val="381642B6"/>
    <w:rsid w:val="3882287D"/>
    <w:rsid w:val="38871C41"/>
    <w:rsid w:val="389D3AC4"/>
    <w:rsid w:val="390009E8"/>
    <w:rsid w:val="392C27E9"/>
    <w:rsid w:val="392E3968"/>
    <w:rsid w:val="39316051"/>
    <w:rsid w:val="39766C01"/>
    <w:rsid w:val="3A183750"/>
    <w:rsid w:val="3A40520F"/>
    <w:rsid w:val="3B4C71B1"/>
    <w:rsid w:val="3B7D732B"/>
    <w:rsid w:val="3BD477A8"/>
    <w:rsid w:val="3BDE5682"/>
    <w:rsid w:val="3CA64112"/>
    <w:rsid w:val="3CCC7178"/>
    <w:rsid w:val="3CEF0CBC"/>
    <w:rsid w:val="3D8070DE"/>
    <w:rsid w:val="3DC37028"/>
    <w:rsid w:val="3DEC0798"/>
    <w:rsid w:val="3E1F5CF0"/>
    <w:rsid w:val="3EB40D61"/>
    <w:rsid w:val="3EC21732"/>
    <w:rsid w:val="3ECB1E16"/>
    <w:rsid w:val="3F013AD6"/>
    <w:rsid w:val="3F0D3ABB"/>
    <w:rsid w:val="3F675E8A"/>
    <w:rsid w:val="3F855F44"/>
    <w:rsid w:val="3FC76A4F"/>
    <w:rsid w:val="405D3D18"/>
    <w:rsid w:val="40B316AF"/>
    <w:rsid w:val="41D37CA5"/>
    <w:rsid w:val="427126C4"/>
    <w:rsid w:val="42A00D54"/>
    <w:rsid w:val="42B539D8"/>
    <w:rsid w:val="436A5E16"/>
    <w:rsid w:val="43777737"/>
    <w:rsid w:val="43945EB1"/>
    <w:rsid w:val="439623F6"/>
    <w:rsid w:val="43C12CC8"/>
    <w:rsid w:val="445D41A3"/>
    <w:rsid w:val="44C86075"/>
    <w:rsid w:val="44E31F46"/>
    <w:rsid w:val="455A64BE"/>
    <w:rsid w:val="460A4F84"/>
    <w:rsid w:val="46303106"/>
    <w:rsid w:val="468B0AEE"/>
    <w:rsid w:val="46E62229"/>
    <w:rsid w:val="47024D70"/>
    <w:rsid w:val="47ED4774"/>
    <w:rsid w:val="48CF40AD"/>
    <w:rsid w:val="49843F7B"/>
    <w:rsid w:val="4A620BCC"/>
    <w:rsid w:val="4AA84CED"/>
    <w:rsid w:val="4AE923C2"/>
    <w:rsid w:val="4B3D45D6"/>
    <w:rsid w:val="4BA16325"/>
    <w:rsid w:val="4BEF1C55"/>
    <w:rsid w:val="4BF57251"/>
    <w:rsid w:val="4C872093"/>
    <w:rsid w:val="4CE04E7F"/>
    <w:rsid w:val="4DA150FB"/>
    <w:rsid w:val="4DC86B2C"/>
    <w:rsid w:val="4DD51249"/>
    <w:rsid w:val="4E22300C"/>
    <w:rsid w:val="4E7E7291"/>
    <w:rsid w:val="4E8D17F0"/>
    <w:rsid w:val="4EC7525C"/>
    <w:rsid w:val="4EFD1B23"/>
    <w:rsid w:val="500842F8"/>
    <w:rsid w:val="508036EE"/>
    <w:rsid w:val="50CB345B"/>
    <w:rsid w:val="51586419"/>
    <w:rsid w:val="51FE0D6E"/>
    <w:rsid w:val="526C571E"/>
    <w:rsid w:val="52734B8D"/>
    <w:rsid w:val="52BE3F76"/>
    <w:rsid w:val="52E87329"/>
    <w:rsid w:val="52E94933"/>
    <w:rsid w:val="53462538"/>
    <w:rsid w:val="53511372"/>
    <w:rsid w:val="539B18BD"/>
    <w:rsid w:val="53A14F28"/>
    <w:rsid w:val="53AC7CA3"/>
    <w:rsid w:val="5423774F"/>
    <w:rsid w:val="547728A8"/>
    <w:rsid w:val="547D1CF3"/>
    <w:rsid w:val="55000D52"/>
    <w:rsid w:val="55435C91"/>
    <w:rsid w:val="55C23E61"/>
    <w:rsid w:val="56076FA5"/>
    <w:rsid w:val="562377A2"/>
    <w:rsid w:val="567A40DB"/>
    <w:rsid w:val="57077F42"/>
    <w:rsid w:val="576B428C"/>
    <w:rsid w:val="57952B07"/>
    <w:rsid w:val="57D367F9"/>
    <w:rsid w:val="58597806"/>
    <w:rsid w:val="58A70824"/>
    <w:rsid w:val="5950405C"/>
    <w:rsid w:val="59975605"/>
    <w:rsid w:val="59A00F45"/>
    <w:rsid w:val="59A74D0D"/>
    <w:rsid w:val="59D8037F"/>
    <w:rsid w:val="5A1C5FBB"/>
    <w:rsid w:val="5A252C10"/>
    <w:rsid w:val="5AE139C8"/>
    <w:rsid w:val="5AED5164"/>
    <w:rsid w:val="5AFC3EA9"/>
    <w:rsid w:val="5B5B46E1"/>
    <w:rsid w:val="5B5E498E"/>
    <w:rsid w:val="5BF83710"/>
    <w:rsid w:val="5C403D31"/>
    <w:rsid w:val="5C5703CE"/>
    <w:rsid w:val="5C8460DD"/>
    <w:rsid w:val="5CB33AE8"/>
    <w:rsid w:val="5CC6692D"/>
    <w:rsid w:val="5D9B05C4"/>
    <w:rsid w:val="5D9F0F2C"/>
    <w:rsid w:val="5E26562D"/>
    <w:rsid w:val="5E4044BD"/>
    <w:rsid w:val="5E6A7EE2"/>
    <w:rsid w:val="5E856465"/>
    <w:rsid w:val="5F277EF1"/>
    <w:rsid w:val="5FCD6F4A"/>
    <w:rsid w:val="601A7127"/>
    <w:rsid w:val="603956F8"/>
    <w:rsid w:val="605E590D"/>
    <w:rsid w:val="60E07891"/>
    <w:rsid w:val="61061CA6"/>
    <w:rsid w:val="612504A2"/>
    <w:rsid w:val="612D5FD5"/>
    <w:rsid w:val="61777C21"/>
    <w:rsid w:val="61884754"/>
    <w:rsid w:val="6208709F"/>
    <w:rsid w:val="620D3E17"/>
    <w:rsid w:val="6274296F"/>
    <w:rsid w:val="62774225"/>
    <w:rsid w:val="62950183"/>
    <w:rsid w:val="62EC0617"/>
    <w:rsid w:val="63507F2C"/>
    <w:rsid w:val="63592687"/>
    <w:rsid w:val="63BB69ED"/>
    <w:rsid w:val="64247B8F"/>
    <w:rsid w:val="644A50CA"/>
    <w:rsid w:val="64A07127"/>
    <w:rsid w:val="64E94475"/>
    <w:rsid w:val="65111DF5"/>
    <w:rsid w:val="65165F77"/>
    <w:rsid w:val="65532D27"/>
    <w:rsid w:val="658A65EA"/>
    <w:rsid w:val="65D67D11"/>
    <w:rsid w:val="65FE6F91"/>
    <w:rsid w:val="66080DAD"/>
    <w:rsid w:val="66474B69"/>
    <w:rsid w:val="66DB0236"/>
    <w:rsid w:val="66E0683D"/>
    <w:rsid w:val="66EC0426"/>
    <w:rsid w:val="67AF6E97"/>
    <w:rsid w:val="68543335"/>
    <w:rsid w:val="685F21E6"/>
    <w:rsid w:val="68F473D8"/>
    <w:rsid w:val="69B84E33"/>
    <w:rsid w:val="6A077A97"/>
    <w:rsid w:val="6A164EFA"/>
    <w:rsid w:val="6AC200B9"/>
    <w:rsid w:val="6AE15471"/>
    <w:rsid w:val="6B1E71EA"/>
    <w:rsid w:val="6B2B0AAB"/>
    <w:rsid w:val="6B550ACD"/>
    <w:rsid w:val="6B637512"/>
    <w:rsid w:val="6B7A6F58"/>
    <w:rsid w:val="6B9F14E1"/>
    <w:rsid w:val="6BF30346"/>
    <w:rsid w:val="6C5C275E"/>
    <w:rsid w:val="6C8C321B"/>
    <w:rsid w:val="6CB64055"/>
    <w:rsid w:val="6CFB2D22"/>
    <w:rsid w:val="6D054FFE"/>
    <w:rsid w:val="6D0A66B5"/>
    <w:rsid w:val="6D4E5F0C"/>
    <w:rsid w:val="6D9C677C"/>
    <w:rsid w:val="6E7B7736"/>
    <w:rsid w:val="6EC66318"/>
    <w:rsid w:val="6EDF73DA"/>
    <w:rsid w:val="6F3B4618"/>
    <w:rsid w:val="70426D9D"/>
    <w:rsid w:val="707F16A6"/>
    <w:rsid w:val="70B34FC2"/>
    <w:rsid w:val="70C54048"/>
    <w:rsid w:val="715D66D8"/>
    <w:rsid w:val="7175622A"/>
    <w:rsid w:val="71D54169"/>
    <w:rsid w:val="71EA47D4"/>
    <w:rsid w:val="71F92EA9"/>
    <w:rsid w:val="72430486"/>
    <w:rsid w:val="726334C1"/>
    <w:rsid w:val="726E0B78"/>
    <w:rsid w:val="727E095A"/>
    <w:rsid w:val="72B5026A"/>
    <w:rsid w:val="734A55BE"/>
    <w:rsid w:val="736B66A6"/>
    <w:rsid w:val="73732C36"/>
    <w:rsid w:val="739015EB"/>
    <w:rsid w:val="73C6605E"/>
    <w:rsid w:val="73E13467"/>
    <w:rsid w:val="73F21FBF"/>
    <w:rsid w:val="74230EAD"/>
    <w:rsid w:val="742869B8"/>
    <w:rsid w:val="744C5512"/>
    <w:rsid w:val="748B66ED"/>
    <w:rsid w:val="75005738"/>
    <w:rsid w:val="75575BF9"/>
    <w:rsid w:val="75CA033B"/>
    <w:rsid w:val="75E35A02"/>
    <w:rsid w:val="76360227"/>
    <w:rsid w:val="768C589F"/>
    <w:rsid w:val="7696744A"/>
    <w:rsid w:val="774A0D3B"/>
    <w:rsid w:val="77671DAF"/>
    <w:rsid w:val="77DB1421"/>
    <w:rsid w:val="7806466D"/>
    <w:rsid w:val="78547507"/>
    <w:rsid w:val="7864051F"/>
    <w:rsid w:val="78981CAA"/>
    <w:rsid w:val="78EE1F91"/>
    <w:rsid w:val="796A392F"/>
    <w:rsid w:val="796E7C6C"/>
    <w:rsid w:val="798B570C"/>
    <w:rsid w:val="799D67FC"/>
    <w:rsid w:val="79A213B8"/>
    <w:rsid w:val="79C93160"/>
    <w:rsid w:val="79D06EC6"/>
    <w:rsid w:val="79DB0DE7"/>
    <w:rsid w:val="7AA976E3"/>
    <w:rsid w:val="7AEF3C18"/>
    <w:rsid w:val="7B22521E"/>
    <w:rsid w:val="7B445527"/>
    <w:rsid w:val="7B9B0B2D"/>
    <w:rsid w:val="7C0B3F13"/>
    <w:rsid w:val="7C4676EA"/>
    <w:rsid w:val="7C940D06"/>
    <w:rsid w:val="7C951D7B"/>
    <w:rsid w:val="7CBE156D"/>
    <w:rsid w:val="7CDB2A18"/>
    <w:rsid w:val="7CF023C4"/>
    <w:rsid w:val="7CFA1AEA"/>
    <w:rsid w:val="7D042041"/>
    <w:rsid w:val="7D1961AD"/>
    <w:rsid w:val="7D347446"/>
    <w:rsid w:val="7D5120B8"/>
    <w:rsid w:val="7DAF6922"/>
    <w:rsid w:val="7DBE3D05"/>
    <w:rsid w:val="7DD60DEA"/>
    <w:rsid w:val="7E133718"/>
    <w:rsid w:val="7E2E34EE"/>
    <w:rsid w:val="7EBC763F"/>
    <w:rsid w:val="7F34450C"/>
    <w:rsid w:val="7F9A3E5A"/>
    <w:rsid w:val="7FF1341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1"/>
    <w:qFormat/>
    <w:uiPriority w:val="0"/>
    <w:pPr>
      <w:keepNext/>
      <w:keepLines/>
      <w:spacing w:before="260" w:after="260" w:line="416" w:lineRule="auto"/>
      <w:outlineLvl w:val="2"/>
    </w:pPr>
    <w:rPr>
      <w:b/>
      <w:bCs/>
      <w:sz w:val="32"/>
      <w:szCs w:val="32"/>
    </w:rPr>
  </w:style>
  <w:style w:type="paragraph" w:styleId="5">
    <w:name w:val="heading 4"/>
    <w:basedOn w:val="1"/>
    <w:next w:val="1"/>
    <w:autoRedefine/>
    <w:qFormat/>
    <w:uiPriority w:val="9"/>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autoRedefine/>
    <w:qFormat/>
    <w:uiPriority w:val="9"/>
    <w:pPr>
      <w:keepNext/>
      <w:keepLines/>
      <w:spacing w:before="280" w:after="290" w:line="374" w:lineRule="auto"/>
      <w:outlineLvl w:val="4"/>
    </w:pPr>
    <w:rPr>
      <w:b/>
      <w:bCs/>
      <w:sz w:val="28"/>
      <w:szCs w:val="28"/>
    </w:rPr>
  </w:style>
  <w:style w:type="character" w:default="1" w:styleId="27">
    <w:name w:val="Default Paragraph Font"/>
    <w:autoRedefine/>
    <w:semiHidden/>
    <w:qFormat/>
    <w:uiPriority w:val="0"/>
  </w:style>
  <w:style w:type="table" w:default="1" w:styleId="25">
    <w:name w:val="Normal Table"/>
    <w:autoRedefine/>
    <w:semiHidden/>
    <w:qFormat/>
    <w:uiPriority w:val="0"/>
    <w:tblPr>
      <w:tblCellMar>
        <w:top w:w="0" w:type="dxa"/>
        <w:left w:w="108" w:type="dxa"/>
        <w:bottom w:w="0" w:type="dxa"/>
        <w:right w:w="108" w:type="dxa"/>
      </w:tblCellMar>
    </w:tblPr>
  </w:style>
  <w:style w:type="paragraph" w:styleId="7">
    <w:name w:val="Normal Indent"/>
    <w:basedOn w:val="1"/>
    <w:qFormat/>
    <w:uiPriority w:val="99"/>
    <w:pPr>
      <w:ind w:firstLine="420"/>
    </w:pPr>
  </w:style>
  <w:style w:type="paragraph" w:styleId="8">
    <w:name w:val="Document Map"/>
    <w:basedOn w:val="1"/>
    <w:link w:val="32"/>
    <w:autoRedefine/>
    <w:qFormat/>
    <w:uiPriority w:val="0"/>
    <w:rPr>
      <w:rFonts w:ascii="宋体"/>
      <w:sz w:val="18"/>
      <w:szCs w:val="18"/>
    </w:rPr>
  </w:style>
  <w:style w:type="paragraph" w:styleId="9">
    <w:name w:val="annotation text"/>
    <w:basedOn w:val="1"/>
    <w:link w:val="33"/>
    <w:autoRedefine/>
    <w:qFormat/>
    <w:uiPriority w:val="0"/>
    <w:pPr>
      <w:jc w:val="left"/>
    </w:pPr>
  </w:style>
  <w:style w:type="paragraph" w:styleId="10">
    <w:name w:val="Body Text"/>
    <w:basedOn w:val="1"/>
    <w:next w:val="1"/>
    <w:link w:val="34"/>
    <w:autoRedefine/>
    <w:qFormat/>
    <w:uiPriority w:val="0"/>
    <w:pPr>
      <w:spacing w:after="120"/>
    </w:pPr>
    <w:rPr>
      <w:szCs w:val="24"/>
    </w:rPr>
  </w:style>
  <w:style w:type="paragraph" w:styleId="11">
    <w:name w:val="Body Text Indent"/>
    <w:basedOn w:val="1"/>
    <w:autoRedefine/>
    <w:qFormat/>
    <w:uiPriority w:val="99"/>
    <w:pPr>
      <w:widowControl/>
      <w:spacing w:after="120"/>
      <w:ind w:left="200" w:leftChars="200"/>
      <w:jc w:val="left"/>
    </w:pPr>
    <w:rPr>
      <w:rFonts w:ascii="Times New Roman" w:hAnsi="Times New Roman"/>
      <w:kern w:val="0"/>
      <w:sz w:val="20"/>
      <w:szCs w:val="20"/>
    </w:rPr>
  </w:style>
  <w:style w:type="paragraph" w:styleId="12">
    <w:name w:val="Block Text"/>
    <w:basedOn w:val="1"/>
    <w:autoRedefine/>
    <w:qFormat/>
    <w:uiPriority w:val="0"/>
    <w:pPr>
      <w:widowControl/>
      <w:spacing w:after="120"/>
      <w:ind w:left="1440" w:leftChars="700" w:right="1440" w:rightChars="700"/>
      <w:jc w:val="left"/>
    </w:pPr>
    <w:rPr>
      <w:rFonts w:ascii="Times New Roman" w:hAnsi="Times New Roman"/>
      <w:kern w:val="0"/>
      <w:sz w:val="20"/>
      <w:szCs w:val="20"/>
    </w:rPr>
  </w:style>
  <w:style w:type="paragraph" w:styleId="13">
    <w:name w:val="Plain Text"/>
    <w:basedOn w:val="1"/>
    <w:next w:val="1"/>
    <w:qFormat/>
    <w:uiPriority w:val="0"/>
    <w:pPr>
      <w:widowControl w:val="0"/>
      <w:jc w:val="both"/>
    </w:pPr>
    <w:rPr>
      <w:rFonts w:ascii="宋体" w:hAnsi="Courier New" w:cs="Courier New"/>
      <w:kern w:val="2"/>
      <w:sz w:val="21"/>
      <w:szCs w:val="21"/>
    </w:rPr>
  </w:style>
  <w:style w:type="paragraph" w:styleId="14">
    <w:name w:val="Balloon Text"/>
    <w:basedOn w:val="1"/>
    <w:link w:val="35"/>
    <w:autoRedefine/>
    <w:qFormat/>
    <w:uiPriority w:val="0"/>
    <w:rPr>
      <w:sz w:val="18"/>
      <w:szCs w:val="18"/>
    </w:rPr>
  </w:style>
  <w:style w:type="paragraph" w:styleId="15">
    <w:name w:val="footer"/>
    <w:basedOn w:val="1"/>
    <w:link w:val="36"/>
    <w:autoRedefine/>
    <w:qFormat/>
    <w:uiPriority w:val="99"/>
    <w:pPr>
      <w:tabs>
        <w:tab w:val="center" w:pos="4153"/>
        <w:tab w:val="right" w:pos="8306"/>
      </w:tabs>
      <w:snapToGrid w:val="0"/>
    </w:pPr>
    <w:rPr>
      <w:sz w:val="18"/>
      <w:szCs w:val="18"/>
    </w:rPr>
  </w:style>
  <w:style w:type="paragraph" w:styleId="1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qFormat/>
    <w:uiPriority w:val="39"/>
  </w:style>
  <w:style w:type="paragraph" w:styleId="18">
    <w:name w:val="footnote text"/>
    <w:basedOn w:val="1"/>
    <w:autoRedefine/>
    <w:semiHidden/>
    <w:qFormat/>
    <w:uiPriority w:val="0"/>
    <w:pPr>
      <w:widowControl w:val="0"/>
      <w:adjustRightInd w:val="0"/>
      <w:spacing w:line="312" w:lineRule="atLeast"/>
      <w:textAlignment w:val="baseline"/>
    </w:pPr>
    <w:rPr>
      <w:sz w:val="18"/>
    </w:rPr>
  </w:style>
  <w:style w:type="paragraph" w:styleId="19">
    <w:name w:val="toc 2"/>
    <w:basedOn w:val="1"/>
    <w:next w:val="1"/>
    <w:autoRedefine/>
    <w:qFormat/>
    <w:uiPriority w:val="39"/>
    <w:pPr>
      <w:ind w:left="420" w:leftChars="200"/>
    </w:pPr>
  </w:style>
  <w:style w:type="paragraph" w:styleId="20">
    <w:name w:val="Normal (Web)"/>
    <w:basedOn w:val="1"/>
    <w:qFormat/>
    <w:uiPriority w:val="0"/>
    <w:pPr>
      <w:widowControl/>
      <w:spacing w:before="100" w:beforeAutospacing="1" w:after="100" w:afterAutospacing="1"/>
      <w:jc w:val="left"/>
    </w:pPr>
    <w:rPr>
      <w:rFonts w:ascii="Arial" w:hAnsi="Arial" w:cs="Arial"/>
      <w:kern w:val="0"/>
      <w:sz w:val="15"/>
      <w:szCs w:val="15"/>
    </w:rPr>
  </w:style>
  <w:style w:type="paragraph" w:styleId="21">
    <w:name w:val="Title"/>
    <w:basedOn w:val="1"/>
    <w:next w:val="1"/>
    <w:autoRedefine/>
    <w:qFormat/>
    <w:uiPriority w:val="0"/>
    <w:pPr>
      <w:spacing w:before="240" w:after="60"/>
      <w:jc w:val="left"/>
      <w:outlineLvl w:val="0"/>
    </w:pPr>
    <w:rPr>
      <w:rFonts w:ascii="Cambria" w:hAnsi="Cambria"/>
      <w:b/>
      <w:bCs/>
      <w:kern w:val="0"/>
      <w:sz w:val="28"/>
      <w:szCs w:val="28"/>
    </w:rPr>
  </w:style>
  <w:style w:type="paragraph" w:styleId="22">
    <w:name w:val="annotation subject"/>
    <w:basedOn w:val="9"/>
    <w:next w:val="9"/>
    <w:link w:val="37"/>
    <w:autoRedefine/>
    <w:qFormat/>
    <w:uiPriority w:val="0"/>
    <w:rPr>
      <w:b/>
      <w:bCs/>
    </w:rPr>
  </w:style>
  <w:style w:type="paragraph" w:styleId="23">
    <w:name w:val="Body Text First Indent"/>
    <w:basedOn w:val="10"/>
    <w:next w:val="1"/>
    <w:link w:val="38"/>
    <w:autoRedefine/>
    <w:unhideWhenUsed/>
    <w:qFormat/>
    <w:uiPriority w:val="0"/>
    <w:pPr>
      <w:widowControl w:val="0"/>
      <w:ind w:firstLine="420" w:firstLineChars="100"/>
      <w:jc w:val="both"/>
    </w:pPr>
    <w:rPr>
      <w:rFonts w:ascii="Calibri" w:hAnsi="Calibri"/>
      <w:kern w:val="2"/>
      <w:sz w:val="21"/>
      <w:szCs w:val="22"/>
    </w:rPr>
  </w:style>
  <w:style w:type="paragraph" w:styleId="24">
    <w:name w:val="Body Text First Indent 2"/>
    <w:basedOn w:val="11"/>
    <w:next w:val="23"/>
    <w:autoRedefine/>
    <w:qFormat/>
    <w:uiPriority w:val="0"/>
    <w:pPr>
      <w:widowControl/>
      <w:tabs>
        <w:tab w:val="left" w:pos="3996"/>
      </w:tabs>
      <w:spacing w:after="120" w:line="240" w:lineRule="auto"/>
      <w:ind w:left="420" w:leftChars="200" w:firstLine="420" w:firstLineChars="200"/>
      <w:jc w:val="left"/>
    </w:pPr>
    <w:rPr>
      <w:rFonts w:ascii="Times New Roman"/>
      <w:sz w:val="20"/>
      <w:szCs w:val="20"/>
    </w:rPr>
  </w:style>
  <w:style w:type="table" w:styleId="26">
    <w:name w:val="Table Grid"/>
    <w:basedOn w:val="25"/>
    <w:autoRedefine/>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page number"/>
    <w:basedOn w:val="27"/>
    <w:autoRedefine/>
    <w:qFormat/>
    <w:uiPriority w:val="0"/>
  </w:style>
  <w:style w:type="character" w:styleId="29">
    <w:name w:val="Hyperlink"/>
    <w:autoRedefine/>
    <w:unhideWhenUsed/>
    <w:qFormat/>
    <w:uiPriority w:val="99"/>
    <w:rPr>
      <w:color w:val="0563C1"/>
      <w:u w:val="single"/>
    </w:rPr>
  </w:style>
  <w:style w:type="character" w:styleId="30">
    <w:name w:val="annotation reference"/>
    <w:autoRedefine/>
    <w:qFormat/>
    <w:uiPriority w:val="0"/>
    <w:rPr>
      <w:sz w:val="21"/>
      <w:szCs w:val="21"/>
    </w:rPr>
  </w:style>
  <w:style w:type="character" w:customStyle="1" w:styleId="31">
    <w:name w:val="标题 3 Char"/>
    <w:basedOn w:val="27"/>
    <w:link w:val="4"/>
    <w:autoRedefine/>
    <w:qFormat/>
    <w:uiPriority w:val="9"/>
    <w:rPr>
      <w:b/>
      <w:bCs/>
      <w:sz w:val="32"/>
      <w:szCs w:val="32"/>
    </w:rPr>
  </w:style>
  <w:style w:type="character" w:customStyle="1" w:styleId="32">
    <w:name w:val="文档结构图 字符"/>
    <w:link w:val="8"/>
    <w:autoRedefine/>
    <w:qFormat/>
    <w:uiPriority w:val="0"/>
    <w:rPr>
      <w:rFonts w:ascii="宋体"/>
      <w:sz w:val="18"/>
      <w:szCs w:val="18"/>
    </w:rPr>
  </w:style>
  <w:style w:type="character" w:customStyle="1" w:styleId="33">
    <w:name w:val="批注文字 字符"/>
    <w:link w:val="9"/>
    <w:autoRedefine/>
    <w:qFormat/>
    <w:uiPriority w:val="0"/>
  </w:style>
  <w:style w:type="character" w:customStyle="1" w:styleId="34">
    <w:name w:val="正文文本 字符"/>
    <w:link w:val="10"/>
    <w:autoRedefine/>
    <w:qFormat/>
    <w:uiPriority w:val="0"/>
    <w:rPr>
      <w:szCs w:val="24"/>
    </w:rPr>
  </w:style>
  <w:style w:type="character" w:customStyle="1" w:styleId="35">
    <w:name w:val="批注框文本 字符"/>
    <w:link w:val="14"/>
    <w:autoRedefine/>
    <w:qFormat/>
    <w:uiPriority w:val="0"/>
    <w:rPr>
      <w:sz w:val="18"/>
      <w:szCs w:val="18"/>
    </w:rPr>
  </w:style>
  <w:style w:type="character" w:customStyle="1" w:styleId="36">
    <w:name w:val="页脚 字符"/>
    <w:link w:val="15"/>
    <w:autoRedefine/>
    <w:qFormat/>
    <w:uiPriority w:val="99"/>
    <w:rPr>
      <w:sz w:val="18"/>
      <w:szCs w:val="18"/>
    </w:rPr>
  </w:style>
  <w:style w:type="character" w:customStyle="1" w:styleId="37">
    <w:name w:val="批注主题 字符"/>
    <w:link w:val="22"/>
    <w:autoRedefine/>
    <w:qFormat/>
    <w:uiPriority w:val="0"/>
    <w:rPr>
      <w:b/>
      <w:bCs/>
    </w:rPr>
  </w:style>
  <w:style w:type="character" w:customStyle="1" w:styleId="38">
    <w:name w:val="正文文本首行缩进 字符"/>
    <w:link w:val="23"/>
    <w:autoRedefine/>
    <w:qFormat/>
    <w:uiPriority w:val="0"/>
    <w:rPr>
      <w:rFonts w:ascii="Calibri" w:hAnsi="Calibri"/>
      <w:kern w:val="2"/>
      <w:sz w:val="21"/>
      <w:szCs w:val="22"/>
    </w:rPr>
  </w:style>
  <w:style w:type="paragraph" w:customStyle="1" w:styleId="39">
    <w:name w:val="正文首行缩进 221"/>
    <w:basedOn w:val="11"/>
    <w:autoRedefine/>
    <w:unhideWhenUsed/>
    <w:qFormat/>
    <w:uiPriority w:val="0"/>
    <w:pPr>
      <w:widowControl w:val="0"/>
      <w:ind w:left="420" w:firstLine="420" w:firstLineChars="200"/>
      <w:jc w:val="both"/>
    </w:pPr>
    <w:rPr>
      <w:color w:val="000000"/>
      <w:kern w:val="2"/>
      <w:sz w:val="21"/>
      <w:szCs w:val="24"/>
    </w:rPr>
  </w:style>
  <w:style w:type="paragraph" w:customStyle="1" w:styleId="40">
    <w:name w:val="WPSOffice手动目录 2"/>
    <w:autoRedefine/>
    <w:qFormat/>
    <w:uiPriority w:val="0"/>
    <w:pPr>
      <w:ind w:leftChars="200"/>
    </w:pPr>
    <w:rPr>
      <w:rFonts w:ascii="Times New Roman" w:hAnsi="Times New Roman" w:eastAsia="宋体" w:cs="Times New Roman"/>
      <w:lang w:val="en-US" w:eastAsia="zh-CN" w:bidi="ar-SA"/>
    </w:rPr>
  </w:style>
  <w:style w:type="paragraph" w:customStyle="1" w:styleId="41">
    <w:name w:val="样式 标题 3 + (中文) 黑体 小四 非加粗 段前: 7.8 磅 段后: 0 磅 行距: 固定值 20 磅"/>
    <w:basedOn w:val="4"/>
    <w:autoRedefine/>
    <w:qFormat/>
    <w:uiPriority w:val="0"/>
    <w:pPr>
      <w:widowControl w:val="0"/>
      <w:spacing w:before="0" w:after="0" w:line="400" w:lineRule="exact"/>
      <w:jc w:val="both"/>
    </w:pPr>
    <w:rPr>
      <w:rFonts w:eastAsia="黑体" w:cs="宋体"/>
      <w:b w:val="0"/>
      <w:bCs w:val="0"/>
      <w:kern w:val="2"/>
      <w:sz w:val="24"/>
      <w:szCs w:val="20"/>
    </w:rPr>
  </w:style>
  <w:style w:type="paragraph" w:customStyle="1" w:styleId="42">
    <w:name w:val="WPSOffice手动目录 1"/>
    <w:autoRedefine/>
    <w:qFormat/>
    <w:uiPriority w:val="0"/>
    <w:rPr>
      <w:rFonts w:ascii="Times New Roman" w:hAnsi="Times New Roman" w:eastAsia="宋体" w:cs="Times New Roman"/>
      <w:lang w:val="en-US" w:eastAsia="zh-CN" w:bidi="ar-SA"/>
    </w:rPr>
  </w:style>
  <w:style w:type="paragraph" w:customStyle="1" w:styleId="43">
    <w:name w:val="正文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Table Text"/>
    <w:basedOn w:val="1"/>
    <w:autoRedefine/>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17"/>
      <w:szCs w:val="17"/>
      <w:lang w:eastAsia="en-US"/>
    </w:rPr>
  </w:style>
  <w:style w:type="character" w:customStyle="1" w:styleId="45">
    <w:name w:val="grame"/>
    <w:basedOn w:val="27"/>
    <w:autoRedefine/>
    <w:qFormat/>
    <w:uiPriority w:val="0"/>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35</Pages>
  <Words>12792</Words>
  <Characters>13447</Characters>
  <Lines>148</Lines>
  <Paragraphs>41</Paragraphs>
  <TotalTime>5</TotalTime>
  <ScaleCrop>false</ScaleCrop>
  <LinksUpToDate>false</LinksUpToDate>
  <CharactersWithSpaces>14846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2022-04-11T02:35:00Z</dcterms:created>
  <dc:creator>user</dc:creator>
  <cp:lastModifiedBy>JC1111</cp:lastModifiedBy>
  <cp:lastPrinted>2022-05-16T08:44:00Z</cp:lastPrinted>
  <dcterms:modified xsi:type="dcterms:W3CDTF">2025-09-15T05:51:42Z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29258669C5D443FDB527700AC525F4A1_13</vt:lpwstr>
  </property>
  <property fmtid="{D5CDD505-2E9C-101B-9397-08002B2CF9AE}" pid="4" name="KSOTemplateDocerSaveRecord">
    <vt:lpwstr>eyJoZGlkIjoiMzEwYjUyNzIzZTgzNDEyNjFmYTlhN2MzMDNiMDY2NTgiLCJ1c2VySWQiOiIyMzE2NDQ4MDgifQ==</vt:lpwstr>
  </property>
</Properties>
</file>